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4A4E" w14:textId="77777777" w:rsidR="007A7720" w:rsidRPr="008514D4" w:rsidRDefault="000E1265" w:rsidP="008514D4">
      <w:pPr>
        <w:rPr>
          <w:sz w:val="28"/>
          <w:szCs w:val="28"/>
        </w:rPr>
      </w:pPr>
      <w:bookmarkStart w:id="0" w:name="_Toc404528201"/>
      <w:r w:rsidRPr="008514D4">
        <w:rPr>
          <w:sz w:val="28"/>
          <w:szCs w:val="28"/>
        </w:rPr>
        <w:t xml:space="preserve"> </w:t>
      </w:r>
      <w:r w:rsidR="008514D4" w:rsidRPr="008514D4">
        <w:rPr>
          <w:sz w:val="28"/>
          <w:szCs w:val="28"/>
        </w:rPr>
        <w:t xml:space="preserve">Annex E </w:t>
      </w:r>
      <w:r w:rsidR="008514D4">
        <w:rPr>
          <w:sz w:val="28"/>
          <w:szCs w:val="28"/>
        </w:rPr>
        <w:t xml:space="preserve"> </w:t>
      </w:r>
      <w:r w:rsidR="007A7720" w:rsidRPr="008514D4">
        <w:rPr>
          <w:sz w:val="28"/>
          <w:szCs w:val="28"/>
        </w:rPr>
        <w:t xml:space="preserve">Social and Environmental Screening </w:t>
      </w:r>
      <w:bookmarkEnd w:id="0"/>
      <w:r w:rsidR="00B93790" w:rsidRPr="008514D4">
        <w:rPr>
          <w:sz w:val="28"/>
          <w:szCs w:val="28"/>
        </w:rPr>
        <w:t>Procedure</w:t>
      </w:r>
      <w:r w:rsidR="00CC48F2" w:rsidRPr="008514D4">
        <w:rPr>
          <w:sz w:val="28"/>
          <w:szCs w:val="28"/>
        </w:rPr>
        <w:t xml:space="preserve"> </w:t>
      </w:r>
      <w:r w:rsidR="008514D4">
        <w:rPr>
          <w:sz w:val="28"/>
          <w:szCs w:val="28"/>
        </w:rPr>
        <w:t>(SESP)</w:t>
      </w:r>
    </w:p>
    <w:p w14:paraId="3FB679BD" w14:textId="77777777" w:rsidR="007A7720" w:rsidRDefault="007A7720" w:rsidP="00DD330A">
      <w:pPr>
        <w:rPr>
          <w:i/>
          <w:szCs w:val="20"/>
        </w:rPr>
      </w:pPr>
    </w:p>
    <w:p w14:paraId="5669149C"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1848936B"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749274BA" w14:textId="77777777" w:rsidTr="00AC2066">
        <w:tc>
          <w:tcPr>
            <w:tcW w:w="3325" w:type="dxa"/>
            <w:shd w:val="clear" w:color="auto" w:fill="C6D9F1" w:themeFill="text2" w:themeFillTint="33"/>
            <w:vAlign w:val="center"/>
          </w:tcPr>
          <w:p w14:paraId="334C352E"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0DA1003A" w14:textId="77777777" w:rsidR="00DD330A" w:rsidRPr="00414FBA" w:rsidRDefault="00DD330A" w:rsidP="0084274F">
            <w:pPr>
              <w:rPr>
                <w:i/>
                <w:color w:val="000000" w:themeColor="text1"/>
                <w:szCs w:val="20"/>
              </w:rPr>
            </w:pPr>
          </w:p>
        </w:tc>
      </w:tr>
      <w:tr w:rsidR="00DD330A" w:rsidRPr="00450804" w14:paraId="3363FDE0" w14:textId="77777777" w:rsidTr="00B93790">
        <w:trPr>
          <w:trHeight w:val="288"/>
        </w:trPr>
        <w:tc>
          <w:tcPr>
            <w:tcW w:w="3325" w:type="dxa"/>
            <w:vAlign w:val="center"/>
          </w:tcPr>
          <w:p w14:paraId="31950499"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shd w:val="clear" w:color="auto" w:fill="auto"/>
            <w:vAlign w:val="center"/>
          </w:tcPr>
          <w:p w14:paraId="3CDE3354" w14:textId="77777777" w:rsidR="00DD330A" w:rsidRPr="00B93790" w:rsidRDefault="00956127" w:rsidP="0084274F">
            <w:pPr>
              <w:rPr>
                <w:sz w:val="18"/>
                <w:szCs w:val="18"/>
              </w:rPr>
            </w:pPr>
            <w:r w:rsidRPr="00B93790">
              <w:t xml:space="preserve">‘Managing together - </w:t>
            </w:r>
            <w:r w:rsidRPr="00B93790">
              <w:rPr>
                <w:rFonts w:eastAsiaTheme="majorEastAsia" w:cstheme="majorBidi"/>
                <w:iCs/>
                <w:color w:val="262626" w:themeColor="text1" w:themeTint="D9"/>
                <w:spacing w:val="-10"/>
                <w:kern w:val="24"/>
                <w:position w:val="1"/>
              </w:rPr>
              <w:t>Integrating Community-centered, ecosystem-based approaches into forestry, agriculture and tourism</w:t>
            </w:r>
            <w:r w:rsidRPr="00B93790">
              <w:t xml:space="preserve">’ </w:t>
            </w:r>
          </w:p>
        </w:tc>
      </w:tr>
      <w:tr w:rsidR="00DD330A" w:rsidRPr="00450804" w14:paraId="33506A05" w14:textId="77777777" w:rsidTr="00AC2066">
        <w:trPr>
          <w:trHeight w:val="288"/>
        </w:trPr>
        <w:tc>
          <w:tcPr>
            <w:tcW w:w="3325" w:type="dxa"/>
            <w:vAlign w:val="center"/>
          </w:tcPr>
          <w:p w14:paraId="1E0F447B"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4AC2EECF" w14:textId="77777777" w:rsidR="00DD330A" w:rsidRPr="00450804" w:rsidRDefault="00B93790" w:rsidP="0084274F">
            <w:pPr>
              <w:rPr>
                <w:sz w:val="18"/>
                <w:szCs w:val="18"/>
              </w:rPr>
            </w:pPr>
            <w:r w:rsidRPr="00441487">
              <w:rPr>
                <w:sz w:val="18"/>
                <w:szCs w:val="18"/>
              </w:rPr>
              <w:t>5804</w:t>
            </w:r>
          </w:p>
        </w:tc>
      </w:tr>
      <w:tr w:rsidR="00DD330A" w:rsidRPr="00450804" w14:paraId="43E46D92" w14:textId="77777777" w:rsidTr="00AC2066">
        <w:trPr>
          <w:trHeight w:val="288"/>
        </w:trPr>
        <w:tc>
          <w:tcPr>
            <w:tcW w:w="3325" w:type="dxa"/>
            <w:vAlign w:val="center"/>
          </w:tcPr>
          <w:p w14:paraId="2F000E18"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3029851D" w14:textId="77777777" w:rsidR="00DD330A" w:rsidRPr="00450804" w:rsidRDefault="00B93790" w:rsidP="0084274F">
            <w:pPr>
              <w:rPr>
                <w:sz w:val="18"/>
                <w:szCs w:val="18"/>
              </w:rPr>
            </w:pPr>
            <w:r>
              <w:rPr>
                <w:sz w:val="18"/>
                <w:szCs w:val="18"/>
              </w:rPr>
              <w:t>Sri Lanka</w:t>
            </w:r>
          </w:p>
        </w:tc>
      </w:tr>
    </w:tbl>
    <w:p w14:paraId="2D4C512F" w14:textId="77777777" w:rsidR="00DD330A" w:rsidRDefault="00DD330A" w:rsidP="00DD330A">
      <w:pPr>
        <w:tabs>
          <w:tab w:val="left" w:pos="360"/>
        </w:tabs>
        <w:rPr>
          <w:szCs w:val="20"/>
        </w:rPr>
      </w:pPr>
    </w:p>
    <w:p w14:paraId="63D33510"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38A7A179"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6766071A" w14:textId="77777777" w:rsidTr="001A0CAF">
        <w:trPr>
          <w:trHeight w:val="449"/>
        </w:trPr>
        <w:tc>
          <w:tcPr>
            <w:tcW w:w="13248" w:type="dxa"/>
            <w:shd w:val="clear" w:color="auto" w:fill="0F243E" w:themeFill="text2" w:themeFillShade="80"/>
            <w:vAlign w:val="center"/>
          </w:tcPr>
          <w:p w14:paraId="11EA5FB3"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D6803A9" w14:textId="77777777" w:rsidTr="00414FBA">
        <w:tc>
          <w:tcPr>
            <w:tcW w:w="13248" w:type="dxa"/>
            <w:shd w:val="clear" w:color="auto" w:fill="C6D9F1" w:themeFill="text2" w:themeFillTint="33"/>
          </w:tcPr>
          <w:p w14:paraId="502B6FAC" w14:textId="77777777"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69A6BCE4" w14:textId="77777777" w:rsidTr="0087589A">
        <w:tc>
          <w:tcPr>
            <w:tcW w:w="13248" w:type="dxa"/>
          </w:tcPr>
          <w:p w14:paraId="0A612CA2" w14:textId="77777777" w:rsidR="00DC4FBA" w:rsidRPr="007C14E7" w:rsidRDefault="00DC4FBA" w:rsidP="00007BD6">
            <w:pPr>
              <w:rPr>
                <w:rFonts w:cstheme="majorHAnsi"/>
              </w:rPr>
            </w:pPr>
          </w:p>
          <w:p w14:paraId="4CFA0C35" w14:textId="77777777" w:rsidR="00DC4FBA" w:rsidRPr="007C14E7" w:rsidRDefault="00DC4FBA" w:rsidP="00DC4FBA">
            <w:pPr>
              <w:rPr>
                <w:rFonts w:cstheme="majorHAnsi"/>
              </w:rPr>
            </w:pPr>
            <w:r w:rsidRPr="007C14E7">
              <w:rPr>
                <w:rFonts w:cstheme="majorHAnsi"/>
              </w:rPr>
              <w:t>Principles and standards derived from international human rights treaties will guide the project in all phases</w:t>
            </w:r>
            <w:r w:rsidR="00526346" w:rsidRPr="007C14E7">
              <w:rPr>
                <w:rStyle w:val="EndnoteReference"/>
                <w:rFonts w:cstheme="majorHAnsi"/>
              </w:rPr>
              <w:endnoteReference w:id="1"/>
            </w:r>
            <w:r w:rsidRPr="007C14E7">
              <w:rPr>
                <w:rFonts w:cstheme="majorHAnsi"/>
              </w:rPr>
              <w:t xml:space="preserve">.  The Sri Lankan State has an obligation to ‘protect, preserve and improve the environment for the benefit of the community’ (Article 27 (14) of the Constitution), while communities also have the duty to ‘protect nature and conserve its riches’ (Article 28 (f)). </w:t>
            </w:r>
            <w:r w:rsidR="00BF74B8" w:rsidRPr="007C14E7">
              <w:rPr>
                <w:rFonts w:cstheme="majorHAnsi"/>
              </w:rPr>
              <w:t xml:space="preserve">  Human rights obligations include the duty to ensure the level of environmental protection necessary to allow the full exercise of protected rights.  Certain human rights, especially access to information, participation in decision-making, and access to justice in environmental matters are essential to good environmental decision-making.  </w:t>
            </w:r>
          </w:p>
          <w:p w14:paraId="2FB3206D" w14:textId="77777777" w:rsidR="00BF74B8" w:rsidRPr="007C14E7" w:rsidRDefault="00BF74B8" w:rsidP="00DC4FBA">
            <w:pPr>
              <w:rPr>
                <w:rFonts w:cstheme="majorHAnsi"/>
              </w:rPr>
            </w:pPr>
          </w:p>
          <w:p w14:paraId="05EFC0E8" w14:textId="77777777" w:rsidR="00007BD6" w:rsidRPr="007C14E7" w:rsidRDefault="00007BD6" w:rsidP="00007BD6">
            <w:pPr>
              <w:rPr>
                <w:rFonts w:cstheme="majorHAnsi"/>
              </w:rPr>
            </w:pPr>
            <w:r w:rsidRPr="007C14E7">
              <w:rPr>
                <w:rFonts w:cstheme="majorHAnsi"/>
              </w:rPr>
              <w:t xml:space="preserve">The </w:t>
            </w:r>
            <w:r w:rsidR="00DC4FBA" w:rsidRPr="007C14E7">
              <w:rPr>
                <w:rFonts w:cstheme="majorHAnsi"/>
              </w:rPr>
              <w:t xml:space="preserve">Project will: </w:t>
            </w:r>
          </w:p>
          <w:p w14:paraId="59C82673" w14:textId="77777777" w:rsidR="0059307A" w:rsidRDefault="00DC4FBA" w:rsidP="00007BD6">
            <w:pPr>
              <w:pStyle w:val="ListParagraph"/>
              <w:numPr>
                <w:ilvl w:val="0"/>
                <w:numId w:val="23"/>
              </w:numPr>
              <w:rPr>
                <w:rFonts w:cstheme="majorHAnsi"/>
              </w:rPr>
            </w:pPr>
            <w:r w:rsidRPr="0059307A">
              <w:rPr>
                <w:rFonts w:cstheme="majorHAnsi"/>
              </w:rPr>
              <w:t>raise</w:t>
            </w:r>
            <w:r w:rsidR="00AD7197" w:rsidRPr="0059307A">
              <w:rPr>
                <w:rFonts w:cstheme="majorHAnsi"/>
              </w:rPr>
              <w:t xml:space="preserve"> the capacity of government duty-bearers to carry out their obligations under current policy to protect the environment</w:t>
            </w:r>
            <w:r w:rsidRPr="0059307A">
              <w:rPr>
                <w:rFonts w:cstheme="majorHAnsi"/>
              </w:rPr>
              <w:t xml:space="preserve"> (Outcome 1)</w:t>
            </w:r>
          </w:p>
          <w:p w14:paraId="6E77DD05" w14:textId="77777777" w:rsidR="0059307A" w:rsidRDefault="00DC4FBA" w:rsidP="00007BD6">
            <w:pPr>
              <w:pStyle w:val="ListParagraph"/>
              <w:numPr>
                <w:ilvl w:val="0"/>
                <w:numId w:val="23"/>
              </w:numPr>
              <w:rPr>
                <w:rFonts w:cstheme="majorHAnsi"/>
              </w:rPr>
            </w:pPr>
            <w:r w:rsidRPr="0059307A">
              <w:rPr>
                <w:rFonts w:cstheme="majorHAnsi"/>
              </w:rPr>
              <w:t xml:space="preserve">work with local government duty bearers to take tangible steps towards improving environmental protection (Outcomes </w:t>
            </w:r>
            <w:r w:rsidR="00007BD6" w:rsidRPr="0059307A">
              <w:rPr>
                <w:rFonts w:cstheme="majorHAnsi"/>
              </w:rPr>
              <w:t>2,3,)</w:t>
            </w:r>
          </w:p>
          <w:p w14:paraId="07670174" w14:textId="77777777" w:rsidR="0059307A" w:rsidRDefault="00DC4FBA" w:rsidP="00007BD6">
            <w:pPr>
              <w:pStyle w:val="ListParagraph"/>
              <w:numPr>
                <w:ilvl w:val="0"/>
                <w:numId w:val="23"/>
              </w:numPr>
              <w:rPr>
                <w:rFonts w:cstheme="majorHAnsi"/>
              </w:rPr>
            </w:pPr>
            <w:proofErr w:type="spellStart"/>
            <w:r w:rsidRPr="0059307A">
              <w:rPr>
                <w:rFonts w:cstheme="majorHAnsi"/>
              </w:rPr>
              <w:t>feed</w:t>
            </w:r>
            <w:r w:rsidR="00AD7197" w:rsidRPr="0059307A">
              <w:rPr>
                <w:rFonts w:cstheme="majorHAnsi"/>
              </w:rPr>
              <w:t xml:space="preserve"> back</w:t>
            </w:r>
            <w:proofErr w:type="spellEnd"/>
            <w:r w:rsidR="00AD7197" w:rsidRPr="0059307A">
              <w:rPr>
                <w:rFonts w:cstheme="majorHAnsi"/>
              </w:rPr>
              <w:t xml:space="preserve"> project results into changes in </w:t>
            </w:r>
            <w:r w:rsidRPr="0059307A">
              <w:rPr>
                <w:rFonts w:cstheme="majorHAnsi"/>
              </w:rPr>
              <w:t>natio</w:t>
            </w:r>
            <w:r w:rsidR="00007BD6" w:rsidRPr="0059307A">
              <w:rPr>
                <w:rFonts w:cstheme="majorHAnsi"/>
              </w:rPr>
              <w:t xml:space="preserve">nal </w:t>
            </w:r>
            <w:r w:rsidR="00AD7197" w:rsidRPr="0059307A">
              <w:rPr>
                <w:rFonts w:cstheme="majorHAnsi"/>
              </w:rPr>
              <w:t>policy and practice</w:t>
            </w:r>
            <w:r w:rsidR="00007BD6" w:rsidRPr="0059307A">
              <w:rPr>
                <w:rFonts w:cstheme="majorHAnsi"/>
              </w:rPr>
              <w:t xml:space="preserve"> (Outcome</w:t>
            </w:r>
            <w:r w:rsidRPr="0059307A">
              <w:rPr>
                <w:rFonts w:cstheme="majorHAnsi"/>
              </w:rPr>
              <w:t>s</w:t>
            </w:r>
            <w:r w:rsidR="00007BD6" w:rsidRPr="0059307A">
              <w:rPr>
                <w:rFonts w:cstheme="majorHAnsi"/>
              </w:rPr>
              <w:t xml:space="preserve"> 1</w:t>
            </w:r>
            <w:r w:rsidRPr="0059307A">
              <w:rPr>
                <w:rFonts w:cstheme="majorHAnsi"/>
              </w:rPr>
              <w:t>, 4</w:t>
            </w:r>
            <w:r w:rsidR="00007BD6" w:rsidRPr="0059307A">
              <w:rPr>
                <w:rFonts w:cstheme="majorHAnsi"/>
              </w:rPr>
              <w:t>)</w:t>
            </w:r>
          </w:p>
          <w:p w14:paraId="15AF83B4" w14:textId="77777777" w:rsidR="0059307A" w:rsidRDefault="00DC4FBA" w:rsidP="00007BD6">
            <w:pPr>
              <w:pStyle w:val="ListParagraph"/>
              <w:numPr>
                <w:ilvl w:val="0"/>
                <w:numId w:val="23"/>
              </w:numPr>
              <w:rPr>
                <w:rFonts w:cstheme="majorHAnsi"/>
              </w:rPr>
            </w:pPr>
            <w:r w:rsidRPr="0059307A">
              <w:rPr>
                <w:rFonts w:cstheme="majorHAnsi"/>
              </w:rPr>
              <w:t>ensure</w:t>
            </w:r>
            <w:r w:rsidR="00007BD6" w:rsidRPr="0059307A">
              <w:rPr>
                <w:rFonts w:cstheme="majorHAnsi"/>
              </w:rPr>
              <w:t xml:space="preserve"> access of the general public in their capacity as rights holders to information related to the </w:t>
            </w:r>
            <w:proofErr w:type="gramStart"/>
            <w:r w:rsidR="00007BD6" w:rsidRPr="0059307A">
              <w:rPr>
                <w:rFonts w:cstheme="majorHAnsi"/>
              </w:rPr>
              <w:t xml:space="preserve">environment  </w:t>
            </w:r>
            <w:r w:rsidRPr="0059307A">
              <w:rPr>
                <w:rFonts w:cstheme="majorHAnsi"/>
              </w:rPr>
              <w:t>(</w:t>
            </w:r>
            <w:proofErr w:type="gramEnd"/>
            <w:r w:rsidRPr="0059307A">
              <w:rPr>
                <w:rFonts w:cstheme="majorHAnsi"/>
              </w:rPr>
              <w:t>Outcomes 2,3,4)</w:t>
            </w:r>
          </w:p>
          <w:p w14:paraId="095C4B96" w14:textId="77777777" w:rsidR="0059307A" w:rsidRDefault="00DC4FBA" w:rsidP="00007BD6">
            <w:pPr>
              <w:pStyle w:val="ListParagraph"/>
              <w:numPr>
                <w:ilvl w:val="0"/>
                <w:numId w:val="23"/>
              </w:numPr>
              <w:rPr>
                <w:rFonts w:cstheme="majorHAnsi"/>
              </w:rPr>
            </w:pPr>
            <w:r w:rsidRPr="0059307A">
              <w:rPr>
                <w:rFonts w:cstheme="majorHAnsi"/>
              </w:rPr>
              <w:t>work</w:t>
            </w:r>
            <w:r w:rsidR="00007BD6" w:rsidRPr="0059307A">
              <w:rPr>
                <w:rFonts w:cstheme="majorHAnsi"/>
              </w:rPr>
              <w:t xml:space="preserve"> with the general public in their capacity as both rights holders and duty bearers, to </w:t>
            </w:r>
            <w:r w:rsidRPr="0059307A">
              <w:rPr>
                <w:rFonts w:cstheme="majorHAnsi"/>
              </w:rPr>
              <w:t>take tangible steps towards improving environmental protection (Outcome 3)</w:t>
            </w:r>
          </w:p>
          <w:p w14:paraId="34CC8000" w14:textId="77777777" w:rsidR="0059307A" w:rsidRDefault="00DC4FBA" w:rsidP="00007BD6">
            <w:pPr>
              <w:pStyle w:val="ListParagraph"/>
              <w:numPr>
                <w:ilvl w:val="0"/>
                <w:numId w:val="23"/>
              </w:numPr>
              <w:rPr>
                <w:rFonts w:cstheme="majorHAnsi"/>
              </w:rPr>
            </w:pPr>
            <w:r w:rsidRPr="0059307A">
              <w:rPr>
                <w:rFonts w:cstheme="majorHAnsi"/>
              </w:rPr>
              <w:t>maintain</w:t>
            </w:r>
            <w:r w:rsidR="00007BD6" w:rsidRPr="0059307A">
              <w:rPr>
                <w:rFonts w:cstheme="majorHAnsi"/>
              </w:rPr>
              <w:t xml:space="preserve"> a spotlight on incidences in the project areas where women and disabled people are marginalized</w:t>
            </w:r>
            <w:r w:rsidRPr="0059307A">
              <w:rPr>
                <w:rFonts w:cstheme="majorHAnsi"/>
              </w:rPr>
              <w:t xml:space="preserve"> (Outcomes 2, 3, 4)</w:t>
            </w:r>
          </w:p>
          <w:p w14:paraId="245756EB" w14:textId="77777777" w:rsidR="0059307A" w:rsidRDefault="00DC4FBA" w:rsidP="00007BD6">
            <w:pPr>
              <w:pStyle w:val="ListParagraph"/>
              <w:numPr>
                <w:ilvl w:val="0"/>
                <w:numId w:val="23"/>
              </w:numPr>
              <w:rPr>
                <w:rFonts w:cstheme="majorHAnsi"/>
              </w:rPr>
            </w:pPr>
            <w:r w:rsidRPr="0059307A">
              <w:rPr>
                <w:rFonts w:cstheme="majorHAnsi"/>
              </w:rPr>
              <w:t>keep</w:t>
            </w:r>
            <w:r w:rsidR="00007BD6" w:rsidRPr="0059307A">
              <w:rPr>
                <w:rFonts w:cstheme="majorHAnsi"/>
              </w:rPr>
              <w:t xml:space="preserve"> attention on socio-economic issues such as chronic debt, land-tenure injustices, public health problems</w:t>
            </w:r>
            <w:r w:rsidRPr="0059307A">
              <w:rPr>
                <w:rFonts w:cstheme="majorHAnsi"/>
              </w:rPr>
              <w:t xml:space="preserve"> in the Trial Landscapes (Outcomes 2, 3, 4)</w:t>
            </w:r>
          </w:p>
          <w:p w14:paraId="45AE43D2" w14:textId="77777777" w:rsidR="0059307A" w:rsidRDefault="00DC4FBA" w:rsidP="00BF74B8">
            <w:pPr>
              <w:pStyle w:val="ListParagraph"/>
              <w:numPr>
                <w:ilvl w:val="0"/>
                <w:numId w:val="23"/>
              </w:numPr>
              <w:rPr>
                <w:rFonts w:cstheme="majorHAnsi"/>
              </w:rPr>
            </w:pPr>
            <w:r w:rsidRPr="0059307A">
              <w:rPr>
                <w:rFonts w:cstheme="majorHAnsi"/>
              </w:rPr>
              <w:t xml:space="preserve">link with other projects to encourage government to improve enforcement of environmental laws, in particular regarding trawling in the Gulf of </w:t>
            </w:r>
            <w:proofErr w:type="spellStart"/>
            <w:r w:rsidRPr="0059307A">
              <w:rPr>
                <w:rFonts w:cstheme="majorHAnsi"/>
              </w:rPr>
              <w:t>Mannar</w:t>
            </w:r>
            <w:proofErr w:type="spellEnd"/>
            <w:r w:rsidRPr="0059307A">
              <w:rPr>
                <w:rFonts w:cstheme="majorHAnsi"/>
              </w:rPr>
              <w:t xml:space="preserve"> (Outcomes 1, 2, 3)</w:t>
            </w:r>
          </w:p>
          <w:p w14:paraId="496CAFF2" w14:textId="77777777" w:rsidR="0012552D" w:rsidRPr="0059307A" w:rsidRDefault="00DC4FBA" w:rsidP="00BF74B8">
            <w:pPr>
              <w:pStyle w:val="ListParagraph"/>
              <w:numPr>
                <w:ilvl w:val="0"/>
                <w:numId w:val="23"/>
              </w:numPr>
              <w:rPr>
                <w:rFonts w:cstheme="majorHAnsi"/>
              </w:rPr>
            </w:pPr>
            <w:r w:rsidRPr="0059307A">
              <w:rPr>
                <w:rFonts w:cstheme="majorHAnsi"/>
              </w:rPr>
              <w:t>screen each and every proposed project intervention for potential human rights impacts (Outcomes 3, 4)</w:t>
            </w:r>
          </w:p>
        </w:tc>
      </w:tr>
      <w:tr w:rsidR="00414FBA" w:rsidRPr="003843AE" w14:paraId="47C1D3B2" w14:textId="77777777" w:rsidTr="00414FBA">
        <w:trPr>
          <w:trHeight w:val="296"/>
        </w:trPr>
        <w:tc>
          <w:tcPr>
            <w:tcW w:w="13248" w:type="dxa"/>
            <w:shd w:val="clear" w:color="auto" w:fill="C6D9F1" w:themeFill="text2" w:themeFillTint="33"/>
          </w:tcPr>
          <w:p w14:paraId="3CA958D6"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0830C6" w:rsidRPr="00AC33A5" w14:paraId="34F08D0B" w14:textId="77777777" w:rsidTr="0087589A">
        <w:tc>
          <w:tcPr>
            <w:tcW w:w="13248" w:type="dxa"/>
          </w:tcPr>
          <w:p w14:paraId="71E33837" w14:textId="77777777" w:rsidR="000830C6" w:rsidRPr="007C14E7" w:rsidRDefault="00D45A6A" w:rsidP="00BE0BC7">
            <w:pPr>
              <w:tabs>
                <w:tab w:val="left" w:pos="432"/>
              </w:tabs>
              <w:spacing w:before="60" w:after="60"/>
              <w:rPr>
                <w:rFonts w:eastAsia="Times New Roman" w:cstheme="majorHAnsi"/>
                <w:szCs w:val="20"/>
              </w:rPr>
            </w:pPr>
            <w:r w:rsidRPr="007C14E7">
              <w:rPr>
                <w:rFonts w:eastAsia="Times New Roman" w:cstheme="majorHAnsi"/>
                <w:szCs w:val="20"/>
              </w:rPr>
              <w:t xml:space="preserve">The project's environmental objectives will be reached only if women in the project areas are more empowered.  This is not a matter of a gender side-effect in an environmental conservation project: rather it is a matter of having to address the marginalization of women in the local communities in order for the project to achieve success.   Livelihood-focused interventions and capacity development in the community will not merely take an equitable approach to gender, but will focus on women in particular in order to redress current imbalances in </w:t>
            </w:r>
            <w:r w:rsidR="00F03484" w:rsidRPr="007C14E7">
              <w:rPr>
                <w:rFonts w:eastAsia="Times New Roman" w:cstheme="majorHAnsi"/>
                <w:szCs w:val="20"/>
              </w:rPr>
              <w:t xml:space="preserve">women’s access to </w:t>
            </w:r>
            <w:r w:rsidR="00BE0BC7" w:rsidRPr="007C14E7">
              <w:rPr>
                <w:rFonts w:eastAsia="Times New Roman" w:cstheme="majorHAnsi"/>
                <w:szCs w:val="20"/>
              </w:rPr>
              <w:t>highly skilled and remunerated work.   Women could</w:t>
            </w:r>
            <w:r w:rsidRPr="007C14E7">
              <w:rPr>
                <w:rFonts w:eastAsia="Times New Roman" w:cstheme="majorHAnsi"/>
                <w:szCs w:val="20"/>
              </w:rPr>
              <w:t xml:space="preserve"> </w:t>
            </w:r>
            <w:r w:rsidR="001E2C72" w:rsidRPr="007C14E7">
              <w:rPr>
                <w:rFonts w:eastAsia="Times New Roman" w:cstheme="majorHAnsi"/>
                <w:szCs w:val="20"/>
              </w:rPr>
              <w:t>play a more active role in the political and economic activities within their respective communities</w:t>
            </w:r>
            <w:r w:rsidR="00B37732" w:rsidRPr="007C14E7">
              <w:rPr>
                <w:rFonts w:eastAsia="Times New Roman" w:cstheme="majorHAnsi"/>
                <w:szCs w:val="20"/>
              </w:rPr>
              <w:t xml:space="preserve">. </w:t>
            </w:r>
            <w:r w:rsidR="00BE0BC7" w:rsidRPr="007C14E7">
              <w:rPr>
                <w:rFonts w:eastAsia="Times New Roman" w:cstheme="majorHAnsi"/>
                <w:szCs w:val="20"/>
              </w:rPr>
              <w:t xml:space="preserve">  The project will encourage</w:t>
            </w:r>
            <w:r w:rsidR="00E95D07" w:rsidRPr="007C14E7">
              <w:rPr>
                <w:rFonts w:eastAsia="Times New Roman" w:cstheme="majorHAnsi"/>
                <w:szCs w:val="20"/>
              </w:rPr>
              <w:t xml:space="preserve"> </w:t>
            </w:r>
            <w:r w:rsidR="001E2C72" w:rsidRPr="007C14E7">
              <w:rPr>
                <w:rFonts w:eastAsia="Times New Roman" w:cstheme="majorHAnsi"/>
                <w:szCs w:val="20"/>
              </w:rPr>
              <w:t xml:space="preserve">women </w:t>
            </w:r>
            <w:r w:rsidR="00BE0BC7" w:rsidRPr="007C14E7">
              <w:rPr>
                <w:rFonts w:eastAsia="Times New Roman" w:cstheme="majorHAnsi"/>
                <w:szCs w:val="20"/>
              </w:rPr>
              <w:t xml:space="preserve">to participate in decision making.  Women's livelihood associations will form the basis for initial project consultations.   It is anticipated that jobs that were formerly restricted to men, will have been opened up for women by the end of the project.  This will not be a straightforward achievement for it involves decisions on child-care and other care within the family, but it is feasible.   </w:t>
            </w:r>
          </w:p>
        </w:tc>
      </w:tr>
      <w:tr w:rsidR="000830C6" w:rsidRPr="00CF674A" w14:paraId="702093FC" w14:textId="77777777" w:rsidTr="00414FBA">
        <w:trPr>
          <w:trHeight w:val="305"/>
        </w:trPr>
        <w:tc>
          <w:tcPr>
            <w:tcW w:w="13248" w:type="dxa"/>
            <w:shd w:val="clear" w:color="auto" w:fill="C6D9F1" w:themeFill="text2" w:themeFillTint="33"/>
          </w:tcPr>
          <w:p w14:paraId="0B5FAA9A" w14:textId="77777777" w:rsidR="000830C6" w:rsidRPr="00414FBA" w:rsidRDefault="000830C6" w:rsidP="000830C6">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0830C6" w:rsidRPr="00AC33A5" w14:paraId="45318154" w14:textId="77777777" w:rsidTr="0087589A">
        <w:tc>
          <w:tcPr>
            <w:tcW w:w="13248" w:type="dxa"/>
          </w:tcPr>
          <w:p w14:paraId="2CDA13AC" w14:textId="77777777" w:rsidR="00BE0BC7" w:rsidRPr="00FB28FC" w:rsidRDefault="00BE0BC7" w:rsidP="007C14E7">
            <w:pPr>
              <w:autoSpaceDE w:val="0"/>
              <w:autoSpaceDN w:val="0"/>
              <w:adjustRightInd w:val="0"/>
              <w:rPr>
                <w:rFonts w:cstheme="majorHAnsi"/>
                <w:szCs w:val="20"/>
              </w:rPr>
            </w:pPr>
            <w:r w:rsidRPr="00FB28FC">
              <w:rPr>
                <w:rFonts w:cstheme="majorHAnsi"/>
                <w:szCs w:val="20"/>
              </w:rPr>
              <w:t>Mainstreaming of biodiversity conservation and</w:t>
            </w:r>
            <w:r w:rsidR="000830C6" w:rsidRPr="00FB28FC">
              <w:rPr>
                <w:rFonts w:cstheme="majorHAnsi"/>
                <w:szCs w:val="20"/>
              </w:rPr>
              <w:t xml:space="preserve"> environmental sustainability is the prime goal </w:t>
            </w:r>
            <w:r w:rsidRPr="00FB28FC">
              <w:rPr>
                <w:rFonts w:cstheme="majorHAnsi"/>
                <w:szCs w:val="20"/>
              </w:rPr>
              <w:t>of the P</w:t>
            </w:r>
            <w:r w:rsidR="000830C6" w:rsidRPr="00FB28FC">
              <w:rPr>
                <w:rFonts w:cstheme="majorHAnsi"/>
                <w:szCs w:val="20"/>
              </w:rPr>
              <w:t>roject</w:t>
            </w:r>
            <w:r w:rsidRPr="00FB28FC">
              <w:rPr>
                <w:rFonts w:cstheme="majorHAnsi"/>
                <w:szCs w:val="20"/>
              </w:rPr>
              <w:t xml:space="preserve"> (see main text of </w:t>
            </w:r>
            <w:proofErr w:type="spellStart"/>
            <w:r w:rsidRPr="00FB28FC">
              <w:rPr>
                <w:rFonts w:cstheme="majorHAnsi"/>
                <w:szCs w:val="20"/>
              </w:rPr>
              <w:t>Prodoc</w:t>
            </w:r>
            <w:proofErr w:type="spellEnd"/>
            <w:r w:rsidRPr="00FB28FC">
              <w:rPr>
                <w:rFonts w:cstheme="majorHAnsi"/>
                <w:szCs w:val="20"/>
              </w:rPr>
              <w:t>)</w:t>
            </w:r>
            <w:r w:rsidR="00AD426A" w:rsidRPr="00FB28FC">
              <w:rPr>
                <w:rFonts w:cstheme="majorHAnsi"/>
                <w:szCs w:val="20"/>
              </w:rPr>
              <w:t xml:space="preserve">. </w:t>
            </w:r>
            <w:r w:rsidRPr="00FB28FC">
              <w:rPr>
                <w:rFonts w:cstheme="majorHAnsi"/>
                <w:szCs w:val="20"/>
              </w:rPr>
              <w:t xml:space="preserve">The model is one of capacity development for government officials, demonstrations in Trial Landscapes and Focal Village Clusters, and dissemination of results </w:t>
            </w:r>
            <w:r w:rsidR="00C4597B" w:rsidRPr="00FB28FC">
              <w:rPr>
                <w:rFonts w:cstheme="majorHAnsi"/>
                <w:szCs w:val="20"/>
              </w:rPr>
              <w:t xml:space="preserve">regionally and nationally. A key component of the project will be public information and involvement, and collaboration with the growing number of projects and </w:t>
            </w:r>
            <w:proofErr w:type="spellStart"/>
            <w:r w:rsidR="00C4597B" w:rsidRPr="00FB28FC">
              <w:rPr>
                <w:rFonts w:cstheme="majorHAnsi"/>
                <w:szCs w:val="20"/>
              </w:rPr>
              <w:t>programmes</w:t>
            </w:r>
            <w:proofErr w:type="spellEnd"/>
            <w:r w:rsidR="00C4597B" w:rsidRPr="00FB28FC">
              <w:rPr>
                <w:rFonts w:cstheme="majorHAnsi"/>
                <w:szCs w:val="20"/>
              </w:rPr>
              <w:t xml:space="preserve"> that either a) advocate mainstreaming in natural resource management, or b) will benefit from project collaboration with mainstreaming of biodiversity into their economic development interventions.  </w:t>
            </w:r>
            <w:r w:rsidR="007C14E7">
              <w:rPr>
                <w:rFonts w:cstheme="majorHAnsi"/>
                <w:szCs w:val="20"/>
              </w:rPr>
              <w:t xml:space="preserve"> </w:t>
            </w:r>
          </w:p>
        </w:tc>
      </w:tr>
    </w:tbl>
    <w:p w14:paraId="173B572C" w14:textId="77777777" w:rsidR="00DD330A" w:rsidRPr="00FC7D8A" w:rsidRDefault="00DD330A" w:rsidP="00DD330A">
      <w:pPr>
        <w:rPr>
          <w:b/>
          <w:szCs w:val="20"/>
        </w:rPr>
      </w:pPr>
    </w:p>
    <w:p w14:paraId="5A8BFCCA"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476DA800"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610"/>
        <w:gridCol w:w="4770"/>
      </w:tblGrid>
      <w:tr w:rsidR="001B33C2" w:rsidRPr="0019385F" w14:paraId="74C7CA2B" w14:textId="77777777" w:rsidTr="00D32F4C">
        <w:trPr>
          <w:trHeight w:val="1061"/>
        </w:trPr>
        <w:tc>
          <w:tcPr>
            <w:tcW w:w="3510" w:type="dxa"/>
            <w:shd w:val="clear" w:color="auto" w:fill="0F243E" w:themeFill="text2" w:themeFillShade="80"/>
          </w:tcPr>
          <w:p w14:paraId="54D2E0F0" w14:textId="77777777" w:rsidR="001B33C2" w:rsidRDefault="001B33C2" w:rsidP="00D32F4C">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0C4854" w14:textId="77777777" w:rsidR="001B33C2" w:rsidRDefault="001B33C2" w:rsidP="00D32F4C">
            <w:pPr>
              <w:keepNext/>
              <w:tabs>
                <w:tab w:val="left" w:pos="101"/>
              </w:tabs>
              <w:ind w:right="252" w:firstLine="11"/>
              <w:rPr>
                <w:b/>
                <w:szCs w:val="20"/>
              </w:rPr>
            </w:pPr>
            <w:r w:rsidRPr="00930628">
              <w:rPr>
                <w:i/>
                <w:sz w:val="18"/>
                <w:szCs w:val="18"/>
              </w:rPr>
              <w:t xml:space="preserve">Note: </w:t>
            </w:r>
            <w:r w:rsidRPr="00744212">
              <w:rPr>
                <w:i/>
                <w:sz w:val="18"/>
                <w:szCs w:val="18"/>
              </w:rPr>
              <w:t>Describe briefly potential social and environmental risks identified in Attachment 1 – Risk Screening Checklist (based on any “Yes” responses).</w:t>
            </w:r>
            <w:r>
              <w:rPr>
                <w:i/>
                <w:sz w:val="18"/>
                <w:szCs w:val="18"/>
              </w:rPr>
              <w:t xml:space="preserve"> I</w:t>
            </w:r>
            <w:r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3"/>
            <w:shd w:val="clear" w:color="auto" w:fill="0F243E" w:themeFill="text2" w:themeFillShade="80"/>
          </w:tcPr>
          <w:p w14:paraId="273FA2FF" w14:textId="77777777" w:rsidR="001B33C2" w:rsidRDefault="001B33C2" w:rsidP="00D32F4C">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4F5CDA5E" w14:textId="77777777" w:rsidR="001B33C2" w:rsidRDefault="001B33C2" w:rsidP="00D32F4C">
            <w:pPr>
              <w:keepNext/>
              <w:tabs>
                <w:tab w:val="left" w:pos="432"/>
              </w:tabs>
              <w:rPr>
                <w:b/>
                <w:szCs w:val="20"/>
              </w:rPr>
            </w:pPr>
            <w:r w:rsidRPr="00930628">
              <w:rPr>
                <w:i/>
                <w:sz w:val="18"/>
                <w:szCs w:val="18"/>
              </w:rPr>
              <w:t xml:space="preserve">Note: </w:t>
            </w:r>
            <w:r>
              <w:rPr>
                <w:i/>
                <w:sz w:val="18"/>
                <w:szCs w:val="18"/>
              </w:rPr>
              <w:t>Respond to Questions 4 and 5 below before proceeding to Question 6</w:t>
            </w:r>
          </w:p>
        </w:tc>
        <w:tc>
          <w:tcPr>
            <w:tcW w:w="4770" w:type="dxa"/>
            <w:shd w:val="clear" w:color="auto" w:fill="0F243E" w:themeFill="text2" w:themeFillShade="80"/>
          </w:tcPr>
          <w:p w14:paraId="383217CC" w14:textId="77777777" w:rsidR="001B33C2" w:rsidRPr="0019385F" w:rsidRDefault="001B33C2" w:rsidP="00D32F4C">
            <w:pPr>
              <w:keepNext/>
              <w:tabs>
                <w:tab w:val="left" w:pos="432"/>
              </w:tabs>
              <w:rPr>
                <w:b/>
                <w:szCs w:val="20"/>
              </w:rPr>
            </w:pPr>
            <w:r>
              <w:rPr>
                <w:b/>
                <w:szCs w:val="20"/>
              </w:rPr>
              <w:t>QUESTION 6: What</w:t>
            </w:r>
            <w:r w:rsidRPr="0019385F">
              <w:rPr>
                <w:b/>
                <w:szCs w:val="20"/>
              </w:rPr>
              <w:t xml:space="preserve"> social and environmental assessment and management measures have been conducted and/or are required to address potential risks (for Risks with Moderate and High Significance)?</w:t>
            </w:r>
          </w:p>
        </w:tc>
      </w:tr>
      <w:tr w:rsidR="001B33C2" w14:paraId="5D40CAF0" w14:textId="77777777" w:rsidTr="00D32F4C">
        <w:tc>
          <w:tcPr>
            <w:tcW w:w="3510" w:type="dxa"/>
            <w:shd w:val="clear" w:color="auto" w:fill="C6D9F1" w:themeFill="text2" w:themeFillTint="33"/>
          </w:tcPr>
          <w:p w14:paraId="2FA3C464" w14:textId="77777777" w:rsidR="001B33C2" w:rsidRPr="00414FBA" w:rsidRDefault="001B33C2" w:rsidP="00D32F4C">
            <w:pPr>
              <w:rPr>
                <w:b/>
                <w:i/>
                <w:sz w:val="18"/>
                <w:szCs w:val="18"/>
              </w:rPr>
            </w:pPr>
            <w:r w:rsidRPr="00414FBA">
              <w:rPr>
                <w:b/>
                <w:i/>
                <w:sz w:val="18"/>
                <w:szCs w:val="18"/>
              </w:rPr>
              <w:t>Risk Description</w:t>
            </w:r>
          </w:p>
        </w:tc>
        <w:tc>
          <w:tcPr>
            <w:tcW w:w="1080" w:type="dxa"/>
            <w:shd w:val="clear" w:color="auto" w:fill="C6D9F1" w:themeFill="text2" w:themeFillTint="33"/>
          </w:tcPr>
          <w:p w14:paraId="38B1F20A" w14:textId="77777777" w:rsidR="001B33C2" w:rsidRPr="00414FBA" w:rsidRDefault="001B33C2" w:rsidP="00D32F4C">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1D9F4EF0" w14:textId="77777777" w:rsidR="001B33C2" w:rsidRPr="00414FBA" w:rsidRDefault="001B33C2" w:rsidP="00D32F4C">
            <w:pPr>
              <w:rPr>
                <w:b/>
                <w:i/>
                <w:sz w:val="18"/>
                <w:szCs w:val="18"/>
              </w:rPr>
            </w:pPr>
            <w:r w:rsidRPr="00414FBA">
              <w:rPr>
                <w:b/>
                <w:i/>
                <w:sz w:val="18"/>
                <w:szCs w:val="18"/>
              </w:rPr>
              <w:t>Significance</w:t>
            </w:r>
          </w:p>
          <w:p w14:paraId="03A416D9" w14:textId="77777777" w:rsidR="001B33C2" w:rsidRPr="00414FBA" w:rsidRDefault="001B33C2" w:rsidP="00D32F4C">
            <w:pPr>
              <w:rPr>
                <w:b/>
                <w:i/>
                <w:sz w:val="18"/>
                <w:szCs w:val="18"/>
              </w:rPr>
            </w:pPr>
            <w:r w:rsidRPr="00414FBA">
              <w:rPr>
                <w:b/>
                <w:i/>
                <w:sz w:val="18"/>
                <w:szCs w:val="18"/>
              </w:rPr>
              <w:t>(Low, Moderate, High)</w:t>
            </w:r>
          </w:p>
        </w:tc>
        <w:tc>
          <w:tcPr>
            <w:tcW w:w="2610" w:type="dxa"/>
            <w:shd w:val="clear" w:color="auto" w:fill="C6D9F1" w:themeFill="text2" w:themeFillTint="33"/>
          </w:tcPr>
          <w:p w14:paraId="490D2526" w14:textId="77777777" w:rsidR="001B33C2" w:rsidRPr="00414FBA" w:rsidRDefault="001B33C2" w:rsidP="00D32F4C">
            <w:pPr>
              <w:rPr>
                <w:b/>
                <w:i/>
                <w:sz w:val="18"/>
                <w:szCs w:val="18"/>
              </w:rPr>
            </w:pPr>
            <w:r w:rsidRPr="00414FBA">
              <w:rPr>
                <w:b/>
                <w:i/>
                <w:sz w:val="18"/>
                <w:szCs w:val="18"/>
              </w:rPr>
              <w:t>Comments</w:t>
            </w:r>
          </w:p>
        </w:tc>
        <w:tc>
          <w:tcPr>
            <w:tcW w:w="4770" w:type="dxa"/>
            <w:shd w:val="clear" w:color="auto" w:fill="C6D9F1" w:themeFill="text2" w:themeFillTint="33"/>
          </w:tcPr>
          <w:p w14:paraId="185703FD" w14:textId="77777777" w:rsidR="001B33C2" w:rsidRPr="00414FBA" w:rsidRDefault="001B33C2" w:rsidP="00D32F4C">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1B33C2" w14:paraId="2E41D09F" w14:textId="77777777" w:rsidTr="00D32F4C">
        <w:tc>
          <w:tcPr>
            <w:tcW w:w="3510" w:type="dxa"/>
            <w:vAlign w:val="center"/>
          </w:tcPr>
          <w:p w14:paraId="19B644B6" w14:textId="77777777" w:rsidR="001B33C2" w:rsidRPr="009B4F2C" w:rsidRDefault="001B33C2" w:rsidP="00D32F4C">
            <w:pPr>
              <w:rPr>
                <w:sz w:val="18"/>
                <w:szCs w:val="18"/>
              </w:rPr>
            </w:pPr>
          </w:p>
        </w:tc>
        <w:tc>
          <w:tcPr>
            <w:tcW w:w="1080" w:type="dxa"/>
          </w:tcPr>
          <w:p w14:paraId="0076C6B3" w14:textId="77777777" w:rsidR="001B33C2" w:rsidRPr="00C86F7C" w:rsidRDefault="001B33C2" w:rsidP="00D32F4C">
            <w:pPr>
              <w:rPr>
                <w:rFonts w:cs="Minion Pro"/>
                <w:sz w:val="18"/>
                <w:szCs w:val="18"/>
              </w:rPr>
            </w:pPr>
          </w:p>
        </w:tc>
        <w:tc>
          <w:tcPr>
            <w:tcW w:w="1170" w:type="dxa"/>
          </w:tcPr>
          <w:p w14:paraId="67B16690" w14:textId="77777777" w:rsidR="001B33C2" w:rsidRPr="00372083" w:rsidRDefault="001B33C2" w:rsidP="00D32F4C">
            <w:pPr>
              <w:rPr>
                <w:b/>
                <w:sz w:val="18"/>
                <w:szCs w:val="18"/>
              </w:rPr>
            </w:pPr>
          </w:p>
        </w:tc>
        <w:tc>
          <w:tcPr>
            <w:tcW w:w="2610" w:type="dxa"/>
          </w:tcPr>
          <w:p w14:paraId="1BB8A298" w14:textId="77777777" w:rsidR="001B33C2" w:rsidRPr="00372083" w:rsidRDefault="001B33C2" w:rsidP="00D32F4C">
            <w:pPr>
              <w:rPr>
                <w:b/>
                <w:sz w:val="18"/>
                <w:szCs w:val="18"/>
              </w:rPr>
            </w:pPr>
          </w:p>
        </w:tc>
        <w:tc>
          <w:tcPr>
            <w:tcW w:w="4770" w:type="dxa"/>
          </w:tcPr>
          <w:p w14:paraId="15425EF6" w14:textId="77777777" w:rsidR="001B33C2" w:rsidRPr="00372083" w:rsidRDefault="001B33C2" w:rsidP="00D32F4C">
            <w:pPr>
              <w:rPr>
                <w:b/>
                <w:sz w:val="18"/>
                <w:szCs w:val="18"/>
              </w:rPr>
            </w:pPr>
          </w:p>
        </w:tc>
      </w:tr>
      <w:tr w:rsidR="001B33C2" w14:paraId="417A27A2" w14:textId="77777777" w:rsidTr="00D32F4C">
        <w:tc>
          <w:tcPr>
            <w:tcW w:w="3510" w:type="dxa"/>
            <w:vAlign w:val="center"/>
          </w:tcPr>
          <w:p w14:paraId="7D30DEDA" w14:textId="584951B3" w:rsidR="001B33C2" w:rsidRPr="00F512CA" w:rsidRDefault="00E41315" w:rsidP="00D32F4C">
            <w:pPr>
              <w:rPr>
                <w:sz w:val="18"/>
                <w:szCs w:val="18"/>
              </w:rPr>
            </w:pPr>
            <w:r w:rsidRPr="00F512CA">
              <w:rPr>
                <w:b/>
                <w:sz w:val="18"/>
                <w:szCs w:val="18"/>
              </w:rPr>
              <w:t>Risk 1</w:t>
            </w:r>
            <w:r w:rsidR="00F512CA" w:rsidRPr="00F512CA">
              <w:rPr>
                <w:b/>
                <w:sz w:val="18"/>
                <w:szCs w:val="18"/>
              </w:rPr>
              <w:t xml:space="preserve">: </w:t>
            </w:r>
            <w:r w:rsidR="001B33C2" w:rsidRPr="00F512CA">
              <w:rPr>
                <w:sz w:val="18"/>
                <w:szCs w:val="18"/>
              </w:rPr>
              <w:t>Livelihood-focused interventions might have deleterious impacts on wild species or habitats in protected areas or areas proposed for protection or recognized as environmentally sensitive or critical</w:t>
            </w:r>
          </w:p>
          <w:p w14:paraId="56E25392" w14:textId="77777777" w:rsidR="001B33C2" w:rsidRPr="00F512CA" w:rsidRDefault="001B33C2" w:rsidP="00D32F4C">
            <w:pPr>
              <w:rPr>
                <w:sz w:val="18"/>
                <w:szCs w:val="18"/>
              </w:rPr>
            </w:pPr>
          </w:p>
          <w:p w14:paraId="43ACE3FA" w14:textId="77777777" w:rsidR="00EE0211" w:rsidRPr="00F512CA" w:rsidRDefault="00EE0211" w:rsidP="00D32F4C">
            <w:pPr>
              <w:rPr>
                <w:b/>
                <w:i/>
                <w:sz w:val="18"/>
                <w:szCs w:val="18"/>
              </w:rPr>
            </w:pPr>
            <w:r w:rsidRPr="00F512CA">
              <w:rPr>
                <w:b/>
                <w:i/>
                <w:sz w:val="18"/>
                <w:szCs w:val="18"/>
              </w:rPr>
              <w:t>Referred to SESP attachment 1:</w:t>
            </w:r>
          </w:p>
          <w:p w14:paraId="5AB2C2CA" w14:textId="77777777" w:rsidR="001B33C2" w:rsidRPr="00F512CA" w:rsidRDefault="001B33C2" w:rsidP="00EE0211">
            <w:pPr>
              <w:rPr>
                <w:i/>
                <w:sz w:val="18"/>
                <w:szCs w:val="18"/>
              </w:rPr>
            </w:pPr>
            <w:r w:rsidRPr="00F512CA">
              <w:rPr>
                <w:i/>
                <w:sz w:val="18"/>
                <w:szCs w:val="18"/>
              </w:rPr>
              <w:t>Principle 3</w:t>
            </w:r>
            <w:r w:rsidR="00732848" w:rsidRPr="00F512CA">
              <w:rPr>
                <w:i/>
                <w:sz w:val="18"/>
                <w:szCs w:val="18"/>
              </w:rPr>
              <w:t xml:space="preserve">, </w:t>
            </w:r>
            <w:r w:rsidRPr="00F512CA">
              <w:rPr>
                <w:i/>
                <w:sz w:val="18"/>
                <w:szCs w:val="18"/>
              </w:rPr>
              <w:t>Standard 1</w:t>
            </w:r>
            <w:r w:rsidR="00EE0211" w:rsidRPr="00F512CA">
              <w:rPr>
                <w:i/>
                <w:sz w:val="18"/>
                <w:szCs w:val="18"/>
              </w:rPr>
              <w:t xml:space="preserve"> and 2, Questions 1.1 &amp; 2.2</w:t>
            </w:r>
          </w:p>
          <w:p w14:paraId="16E7987A" w14:textId="77777777" w:rsidR="00E41315" w:rsidRPr="00F512CA" w:rsidRDefault="00E41315" w:rsidP="00EE0211">
            <w:pPr>
              <w:rPr>
                <w:i/>
                <w:sz w:val="18"/>
                <w:szCs w:val="18"/>
              </w:rPr>
            </w:pPr>
          </w:p>
          <w:p w14:paraId="4DD132AC" w14:textId="70D60F58" w:rsidR="00E41315" w:rsidRPr="00F512CA" w:rsidRDefault="00E41315" w:rsidP="00E41315">
            <w:pPr>
              <w:rPr>
                <w:b/>
                <w:sz w:val="18"/>
                <w:szCs w:val="18"/>
              </w:rPr>
            </w:pPr>
          </w:p>
        </w:tc>
        <w:tc>
          <w:tcPr>
            <w:tcW w:w="1080" w:type="dxa"/>
            <w:vAlign w:val="center"/>
          </w:tcPr>
          <w:p w14:paraId="6D91CCB8" w14:textId="77777777" w:rsidR="001B33C2" w:rsidRPr="00F512CA" w:rsidRDefault="001B33C2" w:rsidP="00D32F4C">
            <w:pPr>
              <w:rPr>
                <w:rFonts w:cs="Minion Pro"/>
                <w:sz w:val="18"/>
                <w:szCs w:val="18"/>
              </w:rPr>
            </w:pPr>
            <w:r w:rsidRPr="00F512CA">
              <w:rPr>
                <w:rFonts w:cs="Minion Pro"/>
                <w:sz w:val="18"/>
                <w:szCs w:val="18"/>
              </w:rPr>
              <w:t>I = 4</w:t>
            </w:r>
          </w:p>
          <w:p w14:paraId="0D679FB0" w14:textId="77777777" w:rsidR="001B33C2" w:rsidRPr="00F512CA" w:rsidRDefault="001B33C2" w:rsidP="00D32F4C">
            <w:pPr>
              <w:rPr>
                <w:sz w:val="18"/>
                <w:szCs w:val="18"/>
              </w:rPr>
            </w:pPr>
            <w:r w:rsidRPr="00F512CA">
              <w:rPr>
                <w:rFonts w:cs="Minion Pro"/>
                <w:sz w:val="18"/>
                <w:szCs w:val="18"/>
              </w:rPr>
              <w:t>P = 2</w:t>
            </w:r>
          </w:p>
        </w:tc>
        <w:tc>
          <w:tcPr>
            <w:tcW w:w="1170" w:type="dxa"/>
            <w:vAlign w:val="center"/>
          </w:tcPr>
          <w:p w14:paraId="5B65EBB1" w14:textId="77777777" w:rsidR="001B33C2" w:rsidRPr="00F512CA" w:rsidRDefault="001B33C2" w:rsidP="00D32F4C">
            <w:pPr>
              <w:rPr>
                <w:b/>
                <w:sz w:val="18"/>
                <w:szCs w:val="18"/>
              </w:rPr>
            </w:pPr>
            <w:r w:rsidRPr="00F512CA">
              <w:rPr>
                <w:b/>
                <w:sz w:val="18"/>
                <w:szCs w:val="18"/>
              </w:rPr>
              <w:t>Moderate</w:t>
            </w:r>
          </w:p>
        </w:tc>
        <w:tc>
          <w:tcPr>
            <w:tcW w:w="2610" w:type="dxa"/>
            <w:vAlign w:val="center"/>
          </w:tcPr>
          <w:p w14:paraId="700FCD73" w14:textId="77777777" w:rsidR="001B33C2" w:rsidRPr="00F512CA" w:rsidRDefault="001B33C2" w:rsidP="00D32F4C">
            <w:pPr>
              <w:rPr>
                <w:sz w:val="18"/>
                <w:szCs w:val="18"/>
              </w:rPr>
            </w:pPr>
            <w:r w:rsidRPr="00F512CA">
              <w:rPr>
                <w:sz w:val="18"/>
                <w:szCs w:val="18"/>
              </w:rPr>
              <w:t xml:space="preserve">Some well-meaning attempts to reduce pressure on biodiversity through livelihood-focused interventions can result either in no benefit for conservation or in clear damage to biodiversity, sometimes years later and through complex socio-economic feedback. The benefits, costs and trade-offs have to be carefully assessed.  There is also a low risk of social disruption in cases in which modified livelihoods based on natural resource management fail for any reason.  </w:t>
            </w:r>
          </w:p>
        </w:tc>
        <w:tc>
          <w:tcPr>
            <w:tcW w:w="4770" w:type="dxa"/>
            <w:vAlign w:val="center"/>
          </w:tcPr>
          <w:p w14:paraId="2949A10D" w14:textId="77777777" w:rsidR="001B33C2" w:rsidRPr="00AD424B" w:rsidRDefault="001B33C2" w:rsidP="00D32F4C">
            <w:pPr>
              <w:rPr>
                <w:sz w:val="18"/>
                <w:szCs w:val="18"/>
              </w:rPr>
            </w:pPr>
            <w:r w:rsidRPr="00AD424B">
              <w:rPr>
                <w:sz w:val="18"/>
                <w:szCs w:val="18"/>
              </w:rPr>
              <w:t xml:space="preserve">Project design includes mitigation of this risk through environmental and social assessment of each and every project intervention (see </w:t>
            </w:r>
            <w:proofErr w:type="spellStart"/>
            <w:r w:rsidRPr="00AD424B">
              <w:rPr>
                <w:sz w:val="18"/>
                <w:szCs w:val="18"/>
              </w:rPr>
              <w:t>ToC</w:t>
            </w:r>
            <w:proofErr w:type="spellEnd"/>
            <w:r w:rsidRPr="00AD424B">
              <w:rPr>
                <w:sz w:val="18"/>
                <w:szCs w:val="18"/>
              </w:rPr>
              <w:t xml:space="preserve">: M8).  All project interventions will be developed through long and careful participatory processes with local government, village communities and with partner projects and </w:t>
            </w:r>
            <w:proofErr w:type="spellStart"/>
            <w:r w:rsidRPr="00AD424B">
              <w:rPr>
                <w:sz w:val="18"/>
                <w:szCs w:val="18"/>
              </w:rPr>
              <w:t>programmes</w:t>
            </w:r>
            <w:proofErr w:type="spellEnd"/>
            <w:r w:rsidRPr="00AD424B">
              <w:rPr>
                <w:sz w:val="18"/>
                <w:szCs w:val="18"/>
              </w:rPr>
              <w:t xml:space="preserve"> (see Section </w:t>
            </w:r>
            <w:proofErr w:type="spellStart"/>
            <w:r w:rsidRPr="00AD424B">
              <w:rPr>
                <w:sz w:val="18"/>
                <w:szCs w:val="18"/>
              </w:rPr>
              <w:t>lll</w:t>
            </w:r>
            <w:proofErr w:type="spellEnd"/>
            <w:r w:rsidRPr="00AD424B">
              <w:rPr>
                <w:sz w:val="18"/>
                <w:szCs w:val="18"/>
              </w:rPr>
              <w:t xml:space="preserve"> Strategy).   Care will be taken to avoid inadvertent impacts on key habitats and species through encouraging influx of people to the sites of livelihood-focused interventions. As the Project has been classified as High Risk (Single High Risk under Standard 5) an ESIA will be conducted and an ESMP prepared and implemented.  </w:t>
            </w:r>
          </w:p>
          <w:p w14:paraId="08B43556" w14:textId="77777777" w:rsidR="00FD453D" w:rsidRPr="00AD424B" w:rsidRDefault="00FD453D" w:rsidP="00D32F4C">
            <w:pPr>
              <w:rPr>
                <w:sz w:val="18"/>
                <w:szCs w:val="18"/>
              </w:rPr>
            </w:pPr>
          </w:p>
          <w:p w14:paraId="046ECDE8" w14:textId="77777777" w:rsidR="00FD453D" w:rsidRPr="00AD424B" w:rsidRDefault="00FD453D" w:rsidP="00FD453D">
            <w:pPr>
              <w:tabs>
                <w:tab w:val="left" w:pos="360"/>
              </w:tabs>
              <w:rPr>
                <w:sz w:val="18"/>
                <w:szCs w:val="18"/>
              </w:rPr>
            </w:pPr>
            <w:r w:rsidRPr="00AD424B">
              <w:rPr>
                <w:sz w:val="18"/>
                <w:szCs w:val="18"/>
              </w:rPr>
              <w:t>The project will apply the precautionary approach to any interventions in natural resource management.  (see Under Question 5 below)</w:t>
            </w:r>
          </w:p>
          <w:p w14:paraId="29DDF075" w14:textId="77777777" w:rsidR="00E41315" w:rsidRPr="00AD424B" w:rsidRDefault="00E41315" w:rsidP="00D32F4C">
            <w:pPr>
              <w:rPr>
                <w:sz w:val="18"/>
                <w:szCs w:val="18"/>
              </w:rPr>
            </w:pPr>
          </w:p>
          <w:p w14:paraId="425E94AA" w14:textId="77777777" w:rsidR="00E41315" w:rsidRPr="00AD424B" w:rsidRDefault="00E41315" w:rsidP="00D32F4C">
            <w:pPr>
              <w:rPr>
                <w:sz w:val="18"/>
                <w:szCs w:val="18"/>
              </w:rPr>
            </w:pPr>
            <w:r w:rsidRPr="00AD424B">
              <w:rPr>
                <w:sz w:val="18"/>
                <w:szCs w:val="18"/>
              </w:rPr>
              <w:t xml:space="preserve">Potential impacts of climate change will be considered carefully in formulation of interventions as an integral part of Project activities and information </w:t>
            </w:r>
            <w:proofErr w:type="spellStart"/>
            <w:r w:rsidRPr="00AD424B">
              <w:rPr>
                <w:sz w:val="18"/>
                <w:szCs w:val="18"/>
              </w:rPr>
              <w:t>programmes</w:t>
            </w:r>
            <w:proofErr w:type="spellEnd"/>
            <w:r w:rsidRPr="00AD424B">
              <w:rPr>
                <w:sz w:val="18"/>
                <w:szCs w:val="18"/>
              </w:rPr>
              <w:t xml:space="preserve">.  </w:t>
            </w:r>
          </w:p>
        </w:tc>
      </w:tr>
      <w:tr w:rsidR="001B33C2" w14:paraId="4428560F" w14:textId="77777777" w:rsidTr="00F512CA">
        <w:tc>
          <w:tcPr>
            <w:tcW w:w="3510" w:type="dxa"/>
          </w:tcPr>
          <w:p w14:paraId="29208D9B" w14:textId="06E09CD4" w:rsidR="001B33C2" w:rsidRPr="00F512CA" w:rsidRDefault="00E41315" w:rsidP="00F512CA">
            <w:pPr>
              <w:rPr>
                <w:sz w:val="18"/>
                <w:szCs w:val="18"/>
              </w:rPr>
            </w:pPr>
            <w:r w:rsidRPr="00F512CA">
              <w:rPr>
                <w:b/>
                <w:sz w:val="18"/>
                <w:szCs w:val="18"/>
              </w:rPr>
              <w:t xml:space="preserve">Risk 2: </w:t>
            </w:r>
            <w:r w:rsidR="001B33C2" w:rsidRPr="00F512CA">
              <w:rPr>
                <w:sz w:val="18"/>
                <w:szCs w:val="18"/>
              </w:rPr>
              <w:t xml:space="preserve">Reforestation interventions, whether through natural regeneration or planting, are poorly planned and implemented </w:t>
            </w:r>
          </w:p>
          <w:p w14:paraId="60E544FB" w14:textId="77777777" w:rsidR="001B33C2" w:rsidRPr="00F512CA" w:rsidRDefault="001B33C2" w:rsidP="00F512CA">
            <w:pPr>
              <w:rPr>
                <w:sz w:val="18"/>
                <w:szCs w:val="18"/>
              </w:rPr>
            </w:pPr>
          </w:p>
          <w:p w14:paraId="56942A92" w14:textId="77777777" w:rsidR="00EE0211" w:rsidRPr="00F512CA" w:rsidRDefault="00EE0211" w:rsidP="00F512CA">
            <w:pPr>
              <w:rPr>
                <w:b/>
                <w:i/>
                <w:sz w:val="18"/>
                <w:szCs w:val="18"/>
              </w:rPr>
            </w:pPr>
            <w:r w:rsidRPr="00F512CA">
              <w:rPr>
                <w:b/>
                <w:i/>
                <w:sz w:val="18"/>
                <w:szCs w:val="18"/>
              </w:rPr>
              <w:t>Referred to SESP attachment 1:</w:t>
            </w:r>
          </w:p>
          <w:p w14:paraId="0D3217A2" w14:textId="77777777" w:rsidR="001B33C2" w:rsidRPr="00F512CA" w:rsidRDefault="00EE0211" w:rsidP="00F512CA">
            <w:pPr>
              <w:rPr>
                <w:b/>
                <w:i/>
                <w:sz w:val="18"/>
                <w:szCs w:val="18"/>
              </w:rPr>
            </w:pPr>
            <w:r w:rsidRPr="00F512CA">
              <w:rPr>
                <w:i/>
                <w:sz w:val="18"/>
                <w:szCs w:val="18"/>
              </w:rPr>
              <w:t>Principle 3, Standard 1 and 2, Questions 1.6 &amp; 2.2</w:t>
            </w:r>
          </w:p>
          <w:p w14:paraId="55C1473D" w14:textId="77777777" w:rsidR="001B33C2" w:rsidRPr="00F512CA" w:rsidRDefault="001B33C2" w:rsidP="00F512CA">
            <w:pPr>
              <w:rPr>
                <w:b/>
                <w:sz w:val="18"/>
                <w:szCs w:val="18"/>
              </w:rPr>
            </w:pPr>
          </w:p>
          <w:p w14:paraId="72D6E17F" w14:textId="5F179BFA" w:rsidR="00E41315" w:rsidRPr="00F512CA" w:rsidRDefault="00E41315" w:rsidP="00F512CA">
            <w:pPr>
              <w:rPr>
                <w:b/>
                <w:sz w:val="18"/>
                <w:szCs w:val="18"/>
              </w:rPr>
            </w:pPr>
          </w:p>
        </w:tc>
        <w:tc>
          <w:tcPr>
            <w:tcW w:w="1080" w:type="dxa"/>
          </w:tcPr>
          <w:p w14:paraId="3895CC62" w14:textId="77777777" w:rsidR="001B33C2" w:rsidRPr="00F512CA" w:rsidRDefault="001B33C2" w:rsidP="00F512CA">
            <w:pPr>
              <w:rPr>
                <w:rFonts w:cs="Minion Pro"/>
                <w:sz w:val="18"/>
                <w:szCs w:val="18"/>
              </w:rPr>
            </w:pPr>
            <w:r w:rsidRPr="00F512CA">
              <w:rPr>
                <w:rFonts w:cs="Minion Pro"/>
                <w:sz w:val="18"/>
                <w:szCs w:val="18"/>
              </w:rPr>
              <w:t>I = 3</w:t>
            </w:r>
          </w:p>
          <w:p w14:paraId="65CEA032" w14:textId="77777777" w:rsidR="001B33C2" w:rsidRPr="00F512CA" w:rsidRDefault="001B33C2" w:rsidP="00F512CA">
            <w:pPr>
              <w:rPr>
                <w:sz w:val="18"/>
                <w:szCs w:val="18"/>
              </w:rPr>
            </w:pPr>
            <w:r w:rsidRPr="00F512CA">
              <w:rPr>
                <w:rFonts w:cs="Minion Pro"/>
                <w:sz w:val="18"/>
                <w:szCs w:val="18"/>
              </w:rPr>
              <w:t>P = 1</w:t>
            </w:r>
          </w:p>
        </w:tc>
        <w:tc>
          <w:tcPr>
            <w:tcW w:w="1170" w:type="dxa"/>
          </w:tcPr>
          <w:p w14:paraId="42E47AC7" w14:textId="77777777" w:rsidR="001B33C2" w:rsidRPr="00F512CA" w:rsidRDefault="001B33C2" w:rsidP="00F512CA">
            <w:pPr>
              <w:rPr>
                <w:b/>
                <w:sz w:val="18"/>
                <w:szCs w:val="18"/>
              </w:rPr>
            </w:pPr>
            <w:r w:rsidRPr="00F512CA">
              <w:rPr>
                <w:b/>
                <w:sz w:val="18"/>
                <w:szCs w:val="18"/>
              </w:rPr>
              <w:t>Low</w:t>
            </w:r>
          </w:p>
        </w:tc>
        <w:tc>
          <w:tcPr>
            <w:tcW w:w="2610" w:type="dxa"/>
          </w:tcPr>
          <w:p w14:paraId="5246EB40" w14:textId="77777777" w:rsidR="001B33C2" w:rsidRPr="00F512CA" w:rsidRDefault="001B33C2" w:rsidP="00F512CA">
            <w:pPr>
              <w:rPr>
                <w:sz w:val="18"/>
                <w:szCs w:val="18"/>
              </w:rPr>
            </w:pPr>
            <w:r w:rsidRPr="00F512CA">
              <w:rPr>
                <w:sz w:val="18"/>
                <w:szCs w:val="18"/>
              </w:rPr>
              <w:t xml:space="preserve">Low probability because there is high level of competence in forestry, but the impact can be high if exotic species used, for example, and the waste of resources can be high if poor consideration given to viability of planting methods.  </w:t>
            </w:r>
          </w:p>
        </w:tc>
        <w:tc>
          <w:tcPr>
            <w:tcW w:w="4770" w:type="dxa"/>
            <w:vAlign w:val="center"/>
          </w:tcPr>
          <w:p w14:paraId="05BBD09E" w14:textId="77777777" w:rsidR="001B33C2" w:rsidRPr="00AD424B" w:rsidRDefault="001B33C2" w:rsidP="00D32F4C">
            <w:pPr>
              <w:rPr>
                <w:sz w:val="18"/>
                <w:szCs w:val="18"/>
              </w:rPr>
            </w:pPr>
            <w:r w:rsidRPr="00AD424B">
              <w:rPr>
                <w:sz w:val="18"/>
                <w:szCs w:val="18"/>
              </w:rPr>
              <w:t xml:space="preserve">Project design includes mitigation of this risk through environmental and social assessment of each and every project intervention (see </w:t>
            </w:r>
            <w:proofErr w:type="spellStart"/>
            <w:r w:rsidRPr="00AD424B">
              <w:rPr>
                <w:sz w:val="18"/>
                <w:szCs w:val="18"/>
              </w:rPr>
              <w:t>ToC</w:t>
            </w:r>
            <w:proofErr w:type="spellEnd"/>
            <w:r w:rsidRPr="00AD424B">
              <w:rPr>
                <w:sz w:val="18"/>
                <w:szCs w:val="18"/>
              </w:rPr>
              <w:t>: M8).  Expert consultation with foresters on the relative merits of natural regeneration and various possible planting regimes considering water availability and the use to which the forest will be put (</w:t>
            </w:r>
            <w:proofErr w:type="spellStart"/>
            <w:r w:rsidRPr="00AD424B">
              <w:rPr>
                <w:sz w:val="18"/>
                <w:szCs w:val="18"/>
              </w:rPr>
              <w:t>eg</w:t>
            </w:r>
            <w:proofErr w:type="spellEnd"/>
            <w:r w:rsidRPr="00AD424B">
              <w:rPr>
                <w:sz w:val="18"/>
                <w:szCs w:val="18"/>
              </w:rPr>
              <w:t xml:space="preserve"> wildlife habitat). </w:t>
            </w:r>
            <w:r w:rsidR="00E41315" w:rsidRPr="00AD424B">
              <w:rPr>
                <w:sz w:val="18"/>
                <w:szCs w:val="18"/>
              </w:rPr>
              <w:t>The Project will not fund reforestation with exotic species and will advocate</w:t>
            </w:r>
            <w:r w:rsidR="00CC7C7C" w:rsidRPr="00AD424B">
              <w:rPr>
                <w:sz w:val="18"/>
                <w:szCs w:val="18"/>
              </w:rPr>
              <w:t xml:space="preserve"> and demonstrate</w:t>
            </w:r>
            <w:r w:rsidR="00E41315" w:rsidRPr="00AD424B">
              <w:rPr>
                <w:sz w:val="18"/>
                <w:szCs w:val="18"/>
              </w:rPr>
              <w:t xml:space="preserve"> </w:t>
            </w:r>
            <w:r w:rsidR="00CC7C7C" w:rsidRPr="00AD424B">
              <w:rPr>
                <w:sz w:val="18"/>
                <w:szCs w:val="18"/>
              </w:rPr>
              <w:t xml:space="preserve">integrated pest management in place </w:t>
            </w:r>
            <w:proofErr w:type="gramStart"/>
            <w:r w:rsidR="00CC7C7C" w:rsidRPr="00AD424B">
              <w:rPr>
                <w:sz w:val="18"/>
                <w:szCs w:val="18"/>
              </w:rPr>
              <w:t>of  agrochemical</w:t>
            </w:r>
            <w:proofErr w:type="gramEnd"/>
            <w:r w:rsidR="00CC7C7C" w:rsidRPr="00AD424B">
              <w:rPr>
                <w:sz w:val="18"/>
                <w:szCs w:val="18"/>
              </w:rPr>
              <w:t xml:space="preserve"> use.  </w:t>
            </w:r>
            <w:r w:rsidRPr="00AD424B">
              <w:rPr>
                <w:sz w:val="18"/>
                <w:szCs w:val="18"/>
              </w:rPr>
              <w:t xml:space="preserve">As the Project has been classified as High Risk (Single High Risk under Standard 5) an ESIA will be conducted and an ESMP prepared and implemented.  </w:t>
            </w:r>
          </w:p>
          <w:p w14:paraId="113EF320" w14:textId="77777777" w:rsidR="00E41315" w:rsidRPr="00AD424B" w:rsidRDefault="00E41315" w:rsidP="00D32F4C">
            <w:pPr>
              <w:rPr>
                <w:sz w:val="18"/>
                <w:szCs w:val="18"/>
              </w:rPr>
            </w:pPr>
          </w:p>
          <w:p w14:paraId="3701CF2B" w14:textId="77777777" w:rsidR="00FD453D" w:rsidRPr="00AD424B" w:rsidRDefault="00FD453D" w:rsidP="00D32F4C">
            <w:pPr>
              <w:rPr>
                <w:sz w:val="18"/>
                <w:szCs w:val="18"/>
              </w:rPr>
            </w:pPr>
          </w:p>
          <w:p w14:paraId="5B757578" w14:textId="77777777" w:rsidR="00E41315" w:rsidRPr="00AD424B" w:rsidRDefault="00E41315" w:rsidP="00D32F4C">
            <w:pPr>
              <w:rPr>
                <w:sz w:val="18"/>
                <w:szCs w:val="18"/>
              </w:rPr>
            </w:pPr>
            <w:r w:rsidRPr="00AD424B">
              <w:rPr>
                <w:sz w:val="18"/>
                <w:szCs w:val="18"/>
              </w:rPr>
              <w:t xml:space="preserve">Potential impacts of climate change will be considered carefully in formulation of interventions as an integral part of Project activities and information </w:t>
            </w:r>
            <w:proofErr w:type="spellStart"/>
            <w:r w:rsidRPr="00AD424B">
              <w:rPr>
                <w:sz w:val="18"/>
                <w:szCs w:val="18"/>
              </w:rPr>
              <w:t>programmes</w:t>
            </w:r>
            <w:proofErr w:type="spellEnd"/>
            <w:r w:rsidRPr="00AD424B">
              <w:rPr>
                <w:sz w:val="18"/>
                <w:szCs w:val="18"/>
              </w:rPr>
              <w:t xml:space="preserve">.  </w:t>
            </w:r>
          </w:p>
        </w:tc>
      </w:tr>
      <w:tr w:rsidR="001B33C2" w14:paraId="0E647811" w14:textId="77777777" w:rsidTr="00F512CA">
        <w:tc>
          <w:tcPr>
            <w:tcW w:w="3510" w:type="dxa"/>
            <w:shd w:val="clear" w:color="auto" w:fill="auto"/>
          </w:tcPr>
          <w:p w14:paraId="21C14B93" w14:textId="71ED3652" w:rsidR="001B33C2" w:rsidRPr="00F512CA" w:rsidRDefault="001B33C2" w:rsidP="00F512CA">
            <w:pPr>
              <w:rPr>
                <w:sz w:val="18"/>
                <w:szCs w:val="18"/>
              </w:rPr>
            </w:pPr>
            <w:r w:rsidRPr="00F512CA">
              <w:rPr>
                <w:b/>
                <w:sz w:val="18"/>
                <w:szCs w:val="18"/>
              </w:rPr>
              <w:t xml:space="preserve">Risk 3: </w:t>
            </w:r>
            <w:r w:rsidRPr="00F512CA">
              <w:rPr>
                <w:sz w:val="18"/>
                <w:szCs w:val="18"/>
              </w:rPr>
              <w:t xml:space="preserve">Livelihood-focused interventions in fisheries or aquaculture lead to damage to species or habitats </w:t>
            </w:r>
          </w:p>
          <w:p w14:paraId="0F7D12C2" w14:textId="77777777" w:rsidR="001B33C2" w:rsidRPr="00F512CA" w:rsidRDefault="001B33C2" w:rsidP="00F512CA">
            <w:pPr>
              <w:rPr>
                <w:sz w:val="18"/>
                <w:szCs w:val="18"/>
              </w:rPr>
            </w:pPr>
          </w:p>
          <w:p w14:paraId="4C455379" w14:textId="77777777" w:rsidR="00EE0211" w:rsidRPr="00F512CA" w:rsidRDefault="00EE0211" w:rsidP="00F512CA">
            <w:pPr>
              <w:rPr>
                <w:b/>
                <w:i/>
                <w:sz w:val="18"/>
                <w:szCs w:val="18"/>
              </w:rPr>
            </w:pPr>
            <w:r w:rsidRPr="00F512CA">
              <w:rPr>
                <w:b/>
                <w:i/>
                <w:sz w:val="18"/>
                <w:szCs w:val="18"/>
              </w:rPr>
              <w:t>Referred to SESP attachment 1:</w:t>
            </w:r>
          </w:p>
          <w:p w14:paraId="1AA02F3D" w14:textId="77777777" w:rsidR="00EE0211" w:rsidRPr="00F512CA" w:rsidRDefault="00EE0211" w:rsidP="00F512CA">
            <w:pPr>
              <w:rPr>
                <w:b/>
                <w:i/>
                <w:sz w:val="18"/>
                <w:szCs w:val="18"/>
              </w:rPr>
            </w:pPr>
            <w:r w:rsidRPr="00F512CA">
              <w:rPr>
                <w:i/>
                <w:sz w:val="18"/>
                <w:szCs w:val="18"/>
              </w:rPr>
              <w:t>Principle 3, Standard 1 and 2, Questions 1.7 &amp; 2.2</w:t>
            </w:r>
          </w:p>
          <w:p w14:paraId="0E40E851" w14:textId="77777777" w:rsidR="00EE0211" w:rsidRPr="00F512CA" w:rsidRDefault="00EE0211" w:rsidP="00F512CA">
            <w:pPr>
              <w:rPr>
                <w:i/>
                <w:sz w:val="18"/>
                <w:szCs w:val="18"/>
              </w:rPr>
            </w:pPr>
          </w:p>
          <w:p w14:paraId="581D4B3E" w14:textId="77777777" w:rsidR="001B33C2" w:rsidRPr="00F512CA" w:rsidRDefault="001B33C2" w:rsidP="00F512CA">
            <w:pPr>
              <w:rPr>
                <w:sz w:val="18"/>
                <w:szCs w:val="18"/>
              </w:rPr>
            </w:pPr>
          </w:p>
        </w:tc>
        <w:tc>
          <w:tcPr>
            <w:tcW w:w="1080" w:type="dxa"/>
            <w:shd w:val="clear" w:color="auto" w:fill="auto"/>
          </w:tcPr>
          <w:p w14:paraId="76DC72A5" w14:textId="77777777" w:rsidR="001B33C2" w:rsidRPr="00F512CA" w:rsidRDefault="001B33C2" w:rsidP="00F512CA">
            <w:pPr>
              <w:rPr>
                <w:rFonts w:cs="Minion Pro"/>
                <w:sz w:val="18"/>
                <w:szCs w:val="18"/>
              </w:rPr>
            </w:pPr>
            <w:r w:rsidRPr="00F512CA">
              <w:rPr>
                <w:rFonts w:cs="Minion Pro"/>
                <w:sz w:val="18"/>
                <w:szCs w:val="18"/>
              </w:rPr>
              <w:t>I = 4</w:t>
            </w:r>
          </w:p>
          <w:p w14:paraId="02271E14" w14:textId="77777777" w:rsidR="001B33C2" w:rsidRPr="00F512CA" w:rsidRDefault="001B33C2" w:rsidP="00F512CA">
            <w:pPr>
              <w:rPr>
                <w:rFonts w:cs="Minion Pro"/>
                <w:sz w:val="18"/>
                <w:szCs w:val="18"/>
              </w:rPr>
            </w:pPr>
            <w:r w:rsidRPr="00F512CA">
              <w:rPr>
                <w:rFonts w:cs="Minion Pro"/>
                <w:sz w:val="18"/>
                <w:szCs w:val="18"/>
              </w:rPr>
              <w:t>P = 2</w:t>
            </w:r>
          </w:p>
        </w:tc>
        <w:tc>
          <w:tcPr>
            <w:tcW w:w="1170" w:type="dxa"/>
            <w:shd w:val="clear" w:color="auto" w:fill="auto"/>
          </w:tcPr>
          <w:p w14:paraId="31B99BBD" w14:textId="77777777" w:rsidR="001B33C2" w:rsidRPr="00F512CA" w:rsidRDefault="001B33C2" w:rsidP="00F512CA">
            <w:pPr>
              <w:rPr>
                <w:b/>
                <w:sz w:val="18"/>
                <w:szCs w:val="18"/>
              </w:rPr>
            </w:pPr>
            <w:r w:rsidRPr="00F512CA">
              <w:rPr>
                <w:b/>
                <w:sz w:val="18"/>
                <w:szCs w:val="18"/>
              </w:rPr>
              <w:t>Moderate</w:t>
            </w:r>
          </w:p>
        </w:tc>
        <w:tc>
          <w:tcPr>
            <w:tcW w:w="2610" w:type="dxa"/>
            <w:shd w:val="clear" w:color="auto" w:fill="auto"/>
          </w:tcPr>
          <w:p w14:paraId="38987D86" w14:textId="77777777" w:rsidR="001B33C2" w:rsidRPr="00F512CA" w:rsidRDefault="001B33C2" w:rsidP="00F512CA">
            <w:pPr>
              <w:rPr>
                <w:b/>
                <w:sz w:val="18"/>
                <w:szCs w:val="18"/>
              </w:rPr>
            </w:pPr>
            <w:r w:rsidRPr="00F512CA">
              <w:rPr>
                <w:b/>
                <w:sz w:val="18"/>
                <w:szCs w:val="18"/>
              </w:rPr>
              <w:t>See comment under Risk 1</w:t>
            </w:r>
          </w:p>
        </w:tc>
        <w:tc>
          <w:tcPr>
            <w:tcW w:w="4770" w:type="dxa"/>
            <w:shd w:val="clear" w:color="auto" w:fill="auto"/>
            <w:vAlign w:val="center"/>
          </w:tcPr>
          <w:p w14:paraId="4D1462AF" w14:textId="77777777" w:rsidR="001B33C2" w:rsidRPr="00AD424B" w:rsidRDefault="001B33C2" w:rsidP="00D32F4C">
            <w:pPr>
              <w:rPr>
                <w:sz w:val="18"/>
                <w:szCs w:val="18"/>
              </w:rPr>
            </w:pPr>
            <w:r w:rsidRPr="00AD424B">
              <w:rPr>
                <w:sz w:val="18"/>
                <w:szCs w:val="18"/>
              </w:rPr>
              <w:t xml:space="preserve">Project design includes mitigation of this risk through environmental and social assessment of each and every project intervention (see </w:t>
            </w:r>
            <w:proofErr w:type="spellStart"/>
            <w:r w:rsidRPr="00AD424B">
              <w:rPr>
                <w:sz w:val="18"/>
                <w:szCs w:val="18"/>
              </w:rPr>
              <w:t>ToC</w:t>
            </w:r>
            <w:proofErr w:type="spellEnd"/>
            <w:r w:rsidRPr="00AD424B">
              <w:rPr>
                <w:sz w:val="18"/>
                <w:szCs w:val="18"/>
              </w:rPr>
              <w:t xml:space="preserve">: M8).  All project interventions will be developed through long and careful participatory processes with local government, village communities and with partner projects and </w:t>
            </w:r>
            <w:proofErr w:type="spellStart"/>
            <w:r w:rsidRPr="00AD424B">
              <w:rPr>
                <w:sz w:val="18"/>
                <w:szCs w:val="18"/>
              </w:rPr>
              <w:t>programmes</w:t>
            </w:r>
            <w:proofErr w:type="spellEnd"/>
            <w:r w:rsidRPr="00AD424B">
              <w:rPr>
                <w:sz w:val="18"/>
                <w:szCs w:val="18"/>
              </w:rPr>
              <w:t xml:space="preserve"> (see </w:t>
            </w:r>
            <w:proofErr w:type="spellStart"/>
            <w:r w:rsidRPr="00AD424B">
              <w:rPr>
                <w:sz w:val="18"/>
                <w:szCs w:val="18"/>
              </w:rPr>
              <w:t>lll</w:t>
            </w:r>
            <w:proofErr w:type="spellEnd"/>
            <w:r w:rsidRPr="00AD424B">
              <w:rPr>
                <w:sz w:val="18"/>
                <w:szCs w:val="18"/>
              </w:rPr>
              <w:t xml:space="preserve"> Strategy).   As the Project has been classified as High Risk (Single High Risk under Standard 5) an ESIA will be conducted and an ESMP prepared and implemented.  The Environmental and Social Management Framework elaborates on how assessment and mitigation of potential impacts will follow UNDP's SES.</w:t>
            </w:r>
          </w:p>
          <w:p w14:paraId="221AA7B9" w14:textId="77777777" w:rsidR="00FD453D" w:rsidRPr="00AD424B" w:rsidRDefault="00FD453D" w:rsidP="00D32F4C">
            <w:pPr>
              <w:rPr>
                <w:sz w:val="18"/>
                <w:szCs w:val="18"/>
              </w:rPr>
            </w:pPr>
          </w:p>
          <w:p w14:paraId="73A11701" w14:textId="77777777" w:rsidR="00FD453D" w:rsidRPr="00AD424B" w:rsidRDefault="00FD453D" w:rsidP="00FD453D">
            <w:pPr>
              <w:tabs>
                <w:tab w:val="left" w:pos="360"/>
              </w:tabs>
              <w:rPr>
                <w:sz w:val="18"/>
                <w:szCs w:val="18"/>
              </w:rPr>
            </w:pPr>
            <w:r w:rsidRPr="00AD424B">
              <w:rPr>
                <w:sz w:val="18"/>
                <w:szCs w:val="18"/>
              </w:rPr>
              <w:t xml:space="preserve">Actual and potential impacts on natural resources, biodiversity and ecosystem services will be identified and addressed, employing qualified professionals to conduct assessments and to design and implement mitigation and monitoring plans. </w:t>
            </w:r>
          </w:p>
          <w:p w14:paraId="05FC876A" w14:textId="77777777" w:rsidR="00E41315" w:rsidRPr="00AD424B" w:rsidRDefault="00E41315" w:rsidP="00D32F4C">
            <w:pPr>
              <w:rPr>
                <w:sz w:val="18"/>
                <w:szCs w:val="18"/>
              </w:rPr>
            </w:pPr>
          </w:p>
          <w:p w14:paraId="43E39F56" w14:textId="77777777" w:rsidR="00E41315" w:rsidRPr="00AD424B" w:rsidRDefault="00E41315" w:rsidP="00D32F4C">
            <w:pPr>
              <w:rPr>
                <w:sz w:val="18"/>
                <w:szCs w:val="18"/>
              </w:rPr>
            </w:pPr>
            <w:r w:rsidRPr="00AD424B">
              <w:rPr>
                <w:sz w:val="18"/>
                <w:szCs w:val="18"/>
              </w:rPr>
              <w:t xml:space="preserve">Potential impacts of climate change will be considered carefully in formulation of interventions as an integral part of Project activities and information </w:t>
            </w:r>
            <w:proofErr w:type="spellStart"/>
            <w:r w:rsidRPr="00AD424B">
              <w:rPr>
                <w:sz w:val="18"/>
                <w:szCs w:val="18"/>
              </w:rPr>
              <w:t>programmes</w:t>
            </w:r>
            <w:proofErr w:type="spellEnd"/>
            <w:r w:rsidRPr="00AD424B">
              <w:rPr>
                <w:sz w:val="18"/>
                <w:szCs w:val="18"/>
              </w:rPr>
              <w:t xml:space="preserve">.  </w:t>
            </w:r>
          </w:p>
        </w:tc>
      </w:tr>
      <w:tr w:rsidR="001B33C2" w14:paraId="1B3FD369" w14:textId="77777777" w:rsidTr="00F512CA">
        <w:tc>
          <w:tcPr>
            <w:tcW w:w="3510" w:type="dxa"/>
            <w:shd w:val="clear" w:color="auto" w:fill="auto"/>
          </w:tcPr>
          <w:p w14:paraId="36895C10" w14:textId="126FABC9" w:rsidR="001B33C2" w:rsidRPr="00F512CA" w:rsidRDefault="001B33C2" w:rsidP="00F512CA">
            <w:pPr>
              <w:rPr>
                <w:sz w:val="18"/>
                <w:szCs w:val="18"/>
              </w:rPr>
            </w:pPr>
            <w:r w:rsidRPr="00F512CA">
              <w:rPr>
                <w:b/>
                <w:sz w:val="18"/>
                <w:szCs w:val="18"/>
              </w:rPr>
              <w:t>Risk 4:</w:t>
            </w:r>
            <w:r w:rsidR="00F512CA" w:rsidRPr="00F512CA">
              <w:rPr>
                <w:b/>
                <w:sz w:val="18"/>
                <w:szCs w:val="18"/>
              </w:rPr>
              <w:t xml:space="preserve"> </w:t>
            </w:r>
            <w:r w:rsidRPr="00F512CA">
              <w:rPr>
                <w:sz w:val="18"/>
                <w:szCs w:val="18"/>
              </w:rPr>
              <w:t xml:space="preserve">Livelihood-focused interventions in non-timber forest products, </w:t>
            </w:r>
            <w:r w:rsidRPr="00F512CA">
              <w:rPr>
                <w:i/>
                <w:sz w:val="18"/>
                <w:szCs w:val="18"/>
              </w:rPr>
              <w:t>in-situ</w:t>
            </w:r>
            <w:r w:rsidRPr="00F512CA">
              <w:rPr>
                <w:sz w:val="18"/>
                <w:szCs w:val="18"/>
              </w:rPr>
              <w:t xml:space="preserve"> or </w:t>
            </w:r>
            <w:r w:rsidRPr="00F512CA">
              <w:rPr>
                <w:i/>
                <w:sz w:val="18"/>
                <w:szCs w:val="18"/>
              </w:rPr>
              <w:t>ex-situ</w:t>
            </w:r>
            <w:r w:rsidRPr="00F512CA">
              <w:rPr>
                <w:sz w:val="18"/>
                <w:szCs w:val="18"/>
              </w:rPr>
              <w:t>, lead to damage to species or habitats</w:t>
            </w:r>
          </w:p>
          <w:p w14:paraId="4E9D9E50" w14:textId="77777777" w:rsidR="001B33C2" w:rsidRPr="00F512CA" w:rsidRDefault="001B33C2" w:rsidP="00F512CA">
            <w:pPr>
              <w:rPr>
                <w:sz w:val="18"/>
                <w:szCs w:val="18"/>
              </w:rPr>
            </w:pPr>
          </w:p>
          <w:p w14:paraId="0FCF4E5D" w14:textId="77777777" w:rsidR="00EE0211" w:rsidRPr="00F512CA" w:rsidRDefault="00EE0211" w:rsidP="00F512CA">
            <w:pPr>
              <w:rPr>
                <w:b/>
                <w:i/>
                <w:sz w:val="18"/>
                <w:szCs w:val="18"/>
              </w:rPr>
            </w:pPr>
            <w:r w:rsidRPr="00F512CA">
              <w:rPr>
                <w:b/>
                <w:i/>
                <w:sz w:val="18"/>
                <w:szCs w:val="18"/>
              </w:rPr>
              <w:t>Referred to SESP attachment 1:</w:t>
            </w:r>
          </w:p>
          <w:p w14:paraId="1EFDFD76" w14:textId="77777777" w:rsidR="001B33C2" w:rsidRPr="00F512CA" w:rsidRDefault="00EE0211" w:rsidP="00F512CA">
            <w:pPr>
              <w:rPr>
                <w:i/>
                <w:sz w:val="18"/>
                <w:szCs w:val="18"/>
              </w:rPr>
            </w:pPr>
            <w:r w:rsidRPr="00F512CA">
              <w:rPr>
                <w:i/>
                <w:sz w:val="18"/>
                <w:szCs w:val="18"/>
              </w:rPr>
              <w:t>Principle 3, Standard 1 and 2, Questions 1.6 &amp; 2.2</w:t>
            </w:r>
          </w:p>
          <w:p w14:paraId="10F149C6" w14:textId="77777777" w:rsidR="00E41315" w:rsidRPr="00F512CA" w:rsidRDefault="00E41315" w:rsidP="00F512CA">
            <w:pPr>
              <w:rPr>
                <w:i/>
                <w:sz w:val="18"/>
                <w:szCs w:val="18"/>
              </w:rPr>
            </w:pPr>
          </w:p>
          <w:p w14:paraId="13A7E35C" w14:textId="27C7AD26" w:rsidR="00E41315" w:rsidRPr="00F512CA" w:rsidRDefault="00E41315" w:rsidP="00F512CA">
            <w:pPr>
              <w:rPr>
                <w:b/>
                <w:i/>
                <w:sz w:val="18"/>
                <w:szCs w:val="18"/>
              </w:rPr>
            </w:pPr>
          </w:p>
        </w:tc>
        <w:tc>
          <w:tcPr>
            <w:tcW w:w="1080" w:type="dxa"/>
            <w:shd w:val="clear" w:color="auto" w:fill="auto"/>
          </w:tcPr>
          <w:p w14:paraId="2AC9FD44" w14:textId="77777777" w:rsidR="001B33C2" w:rsidRPr="00F512CA" w:rsidRDefault="001B33C2" w:rsidP="00F512CA">
            <w:pPr>
              <w:rPr>
                <w:rFonts w:cs="Minion Pro"/>
                <w:sz w:val="18"/>
                <w:szCs w:val="18"/>
              </w:rPr>
            </w:pPr>
            <w:r w:rsidRPr="00F512CA">
              <w:rPr>
                <w:rFonts w:cs="Minion Pro"/>
                <w:sz w:val="18"/>
                <w:szCs w:val="18"/>
              </w:rPr>
              <w:t>I = 3</w:t>
            </w:r>
          </w:p>
          <w:p w14:paraId="2205E010" w14:textId="77777777" w:rsidR="001B33C2" w:rsidRPr="00F512CA" w:rsidRDefault="001B33C2" w:rsidP="00F512CA">
            <w:pPr>
              <w:rPr>
                <w:rFonts w:cs="Minion Pro"/>
                <w:sz w:val="18"/>
                <w:szCs w:val="18"/>
              </w:rPr>
            </w:pPr>
            <w:r w:rsidRPr="00F512CA">
              <w:rPr>
                <w:rFonts w:cs="Minion Pro"/>
                <w:sz w:val="18"/>
                <w:szCs w:val="18"/>
              </w:rPr>
              <w:t>P = 3</w:t>
            </w:r>
          </w:p>
        </w:tc>
        <w:tc>
          <w:tcPr>
            <w:tcW w:w="1170" w:type="dxa"/>
            <w:shd w:val="clear" w:color="auto" w:fill="auto"/>
          </w:tcPr>
          <w:p w14:paraId="56718ECB" w14:textId="77777777" w:rsidR="001B33C2" w:rsidRPr="00F512CA" w:rsidRDefault="001B33C2" w:rsidP="00F512CA">
            <w:pPr>
              <w:rPr>
                <w:b/>
                <w:sz w:val="18"/>
                <w:szCs w:val="18"/>
              </w:rPr>
            </w:pPr>
            <w:r w:rsidRPr="00F512CA">
              <w:rPr>
                <w:b/>
                <w:sz w:val="18"/>
                <w:szCs w:val="18"/>
              </w:rPr>
              <w:t>Moderate</w:t>
            </w:r>
          </w:p>
        </w:tc>
        <w:tc>
          <w:tcPr>
            <w:tcW w:w="2610" w:type="dxa"/>
            <w:shd w:val="clear" w:color="auto" w:fill="auto"/>
          </w:tcPr>
          <w:p w14:paraId="5D7FD870" w14:textId="77777777" w:rsidR="001B33C2" w:rsidRPr="00F512CA" w:rsidRDefault="001B33C2" w:rsidP="00F512CA">
            <w:pPr>
              <w:rPr>
                <w:b/>
                <w:sz w:val="18"/>
                <w:szCs w:val="18"/>
              </w:rPr>
            </w:pPr>
            <w:r w:rsidRPr="00F512CA">
              <w:rPr>
                <w:b/>
                <w:sz w:val="18"/>
                <w:szCs w:val="18"/>
              </w:rPr>
              <w:t>See comment above under Risk 1</w:t>
            </w:r>
          </w:p>
        </w:tc>
        <w:tc>
          <w:tcPr>
            <w:tcW w:w="4770" w:type="dxa"/>
            <w:shd w:val="clear" w:color="auto" w:fill="auto"/>
            <w:vAlign w:val="center"/>
          </w:tcPr>
          <w:p w14:paraId="0C9F2099" w14:textId="77777777" w:rsidR="00E41315" w:rsidRPr="00AD424B" w:rsidRDefault="00E41315" w:rsidP="00E41315">
            <w:pPr>
              <w:rPr>
                <w:sz w:val="18"/>
                <w:szCs w:val="18"/>
              </w:rPr>
            </w:pPr>
            <w:r w:rsidRPr="00AD424B">
              <w:rPr>
                <w:sz w:val="18"/>
                <w:szCs w:val="18"/>
              </w:rPr>
              <w:t xml:space="preserve">Project design includes mitigation of this risk through environmental and social assessment of each and every project intervention (see </w:t>
            </w:r>
            <w:proofErr w:type="spellStart"/>
            <w:r w:rsidRPr="00AD424B">
              <w:rPr>
                <w:sz w:val="18"/>
                <w:szCs w:val="18"/>
              </w:rPr>
              <w:t>ToC</w:t>
            </w:r>
            <w:proofErr w:type="spellEnd"/>
            <w:r w:rsidRPr="00AD424B">
              <w:rPr>
                <w:sz w:val="18"/>
                <w:szCs w:val="18"/>
              </w:rPr>
              <w:t xml:space="preserve">: M8).  All project interventions will be developed through long and careful participatory processes with local government, village communities and with partner projects and </w:t>
            </w:r>
            <w:proofErr w:type="spellStart"/>
            <w:r w:rsidRPr="00AD424B">
              <w:rPr>
                <w:sz w:val="18"/>
                <w:szCs w:val="18"/>
              </w:rPr>
              <w:t>programmes</w:t>
            </w:r>
            <w:proofErr w:type="spellEnd"/>
            <w:r w:rsidRPr="00AD424B">
              <w:rPr>
                <w:sz w:val="18"/>
                <w:szCs w:val="18"/>
              </w:rPr>
              <w:t xml:space="preserve"> (see </w:t>
            </w:r>
            <w:proofErr w:type="spellStart"/>
            <w:r w:rsidRPr="00AD424B">
              <w:rPr>
                <w:sz w:val="18"/>
                <w:szCs w:val="18"/>
              </w:rPr>
              <w:t>lll</w:t>
            </w:r>
            <w:proofErr w:type="spellEnd"/>
            <w:r w:rsidRPr="00AD424B">
              <w:rPr>
                <w:sz w:val="18"/>
                <w:szCs w:val="18"/>
              </w:rPr>
              <w:t xml:space="preserve"> Strategy).   As the Project has been classified as High Risk (Single High Risk under Standard 5) an ESIA will be conducted and an ESMP prepared and implemented.  The Environmental and Social Management Framework elaborates on how assessment and mitigation of potential impacts will follow UNDP's SES.</w:t>
            </w:r>
          </w:p>
          <w:p w14:paraId="4FB2543D" w14:textId="77777777" w:rsidR="00FD453D" w:rsidRPr="00AD424B" w:rsidRDefault="00FD453D" w:rsidP="00E41315">
            <w:pPr>
              <w:rPr>
                <w:sz w:val="18"/>
                <w:szCs w:val="18"/>
              </w:rPr>
            </w:pPr>
          </w:p>
          <w:p w14:paraId="07568D04" w14:textId="77777777" w:rsidR="00FD453D" w:rsidRPr="00AD424B" w:rsidRDefault="00FD453D" w:rsidP="00FD453D">
            <w:pPr>
              <w:tabs>
                <w:tab w:val="left" w:pos="360"/>
              </w:tabs>
              <w:rPr>
                <w:sz w:val="18"/>
                <w:szCs w:val="18"/>
              </w:rPr>
            </w:pPr>
            <w:r w:rsidRPr="00AD424B">
              <w:rPr>
                <w:sz w:val="18"/>
                <w:szCs w:val="18"/>
              </w:rPr>
              <w:t xml:space="preserve">The project will </w:t>
            </w:r>
            <w:r w:rsidR="000C503D" w:rsidRPr="00AD424B">
              <w:rPr>
                <w:sz w:val="18"/>
                <w:szCs w:val="18"/>
              </w:rPr>
              <w:t>avoid</w:t>
            </w:r>
            <w:r w:rsidRPr="00AD424B">
              <w:rPr>
                <w:sz w:val="18"/>
                <w:szCs w:val="18"/>
              </w:rPr>
              <w:t xml:space="preserve"> making livelihood-focused interventions too near to protected areas or critical habitats, partly to reduce risk from the intervention and partly to discourage influx of others to build on the success of early initiatives. </w:t>
            </w:r>
          </w:p>
          <w:p w14:paraId="1E6C98AA" w14:textId="77777777" w:rsidR="00E41315" w:rsidRPr="00AD424B" w:rsidRDefault="00E41315" w:rsidP="00E41315">
            <w:pPr>
              <w:rPr>
                <w:sz w:val="18"/>
                <w:szCs w:val="18"/>
              </w:rPr>
            </w:pPr>
          </w:p>
          <w:p w14:paraId="47296CCD" w14:textId="77777777" w:rsidR="001B33C2" w:rsidRPr="00AD424B" w:rsidRDefault="00E41315" w:rsidP="00E41315">
            <w:pPr>
              <w:rPr>
                <w:sz w:val="18"/>
                <w:szCs w:val="18"/>
              </w:rPr>
            </w:pPr>
            <w:r w:rsidRPr="00AD424B">
              <w:rPr>
                <w:sz w:val="18"/>
                <w:szCs w:val="18"/>
              </w:rPr>
              <w:t xml:space="preserve">Potential impacts of climate change will be considered carefully in formulation of interventions as an integral part of Project activities and information </w:t>
            </w:r>
            <w:proofErr w:type="spellStart"/>
            <w:r w:rsidRPr="00AD424B">
              <w:rPr>
                <w:sz w:val="18"/>
                <w:szCs w:val="18"/>
              </w:rPr>
              <w:t>programmes</w:t>
            </w:r>
            <w:proofErr w:type="spellEnd"/>
            <w:r w:rsidRPr="00AD424B">
              <w:rPr>
                <w:sz w:val="18"/>
                <w:szCs w:val="18"/>
              </w:rPr>
              <w:t xml:space="preserve">.  </w:t>
            </w:r>
          </w:p>
        </w:tc>
      </w:tr>
      <w:tr w:rsidR="001B33C2" w14:paraId="13D48995" w14:textId="77777777" w:rsidTr="00F512CA">
        <w:tc>
          <w:tcPr>
            <w:tcW w:w="3510" w:type="dxa"/>
            <w:shd w:val="clear" w:color="auto" w:fill="auto"/>
          </w:tcPr>
          <w:p w14:paraId="1EA2BA41" w14:textId="54E60563" w:rsidR="001B33C2" w:rsidRPr="00F512CA" w:rsidRDefault="001B33C2" w:rsidP="00F512CA">
            <w:pPr>
              <w:rPr>
                <w:sz w:val="18"/>
                <w:szCs w:val="18"/>
              </w:rPr>
            </w:pPr>
            <w:r w:rsidRPr="00F512CA">
              <w:rPr>
                <w:b/>
                <w:sz w:val="18"/>
                <w:szCs w:val="18"/>
              </w:rPr>
              <w:t>Risk 5:</w:t>
            </w:r>
            <w:r w:rsidR="00F512CA" w:rsidRPr="00F512CA">
              <w:rPr>
                <w:b/>
                <w:sz w:val="18"/>
                <w:szCs w:val="18"/>
              </w:rPr>
              <w:t xml:space="preserve"> </w:t>
            </w:r>
            <w:r w:rsidRPr="00F512CA">
              <w:rPr>
                <w:sz w:val="18"/>
                <w:szCs w:val="18"/>
              </w:rPr>
              <w:t xml:space="preserve">Cultural values and norms may be adversely affected by introduction of conventional mass scale tourism </w:t>
            </w:r>
          </w:p>
          <w:p w14:paraId="63D01106" w14:textId="77777777" w:rsidR="001B33C2" w:rsidRPr="00F512CA" w:rsidRDefault="001B33C2" w:rsidP="00F512CA">
            <w:pPr>
              <w:rPr>
                <w:sz w:val="18"/>
                <w:szCs w:val="18"/>
              </w:rPr>
            </w:pPr>
          </w:p>
          <w:p w14:paraId="402A02F9" w14:textId="77777777" w:rsidR="00EE0211" w:rsidRPr="00F512CA" w:rsidRDefault="00EE0211" w:rsidP="00F512CA">
            <w:pPr>
              <w:rPr>
                <w:b/>
                <w:i/>
                <w:sz w:val="18"/>
                <w:szCs w:val="18"/>
              </w:rPr>
            </w:pPr>
            <w:r w:rsidRPr="00F512CA">
              <w:rPr>
                <w:b/>
                <w:i/>
                <w:sz w:val="18"/>
                <w:szCs w:val="18"/>
              </w:rPr>
              <w:t>Referred to SESP attachment 1:</w:t>
            </w:r>
          </w:p>
          <w:p w14:paraId="26C0E499" w14:textId="77777777" w:rsidR="00EE0211" w:rsidRPr="00F512CA" w:rsidRDefault="00EE0211" w:rsidP="00F512CA">
            <w:pPr>
              <w:rPr>
                <w:i/>
                <w:sz w:val="18"/>
                <w:szCs w:val="18"/>
              </w:rPr>
            </w:pPr>
            <w:r w:rsidRPr="00F512CA">
              <w:rPr>
                <w:i/>
                <w:sz w:val="18"/>
                <w:szCs w:val="18"/>
              </w:rPr>
              <w:t xml:space="preserve">Principle 3, Standard </w:t>
            </w:r>
            <w:r w:rsidR="002175AB" w:rsidRPr="00F512CA">
              <w:rPr>
                <w:i/>
                <w:sz w:val="18"/>
                <w:szCs w:val="18"/>
              </w:rPr>
              <w:t xml:space="preserve">4, </w:t>
            </w:r>
            <w:r w:rsidRPr="00F512CA">
              <w:rPr>
                <w:i/>
                <w:sz w:val="18"/>
                <w:szCs w:val="18"/>
              </w:rPr>
              <w:t>Question</w:t>
            </w:r>
            <w:r w:rsidR="002175AB" w:rsidRPr="00F512CA">
              <w:rPr>
                <w:i/>
                <w:sz w:val="18"/>
                <w:szCs w:val="18"/>
              </w:rPr>
              <w:t xml:space="preserve"> 4</w:t>
            </w:r>
            <w:r w:rsidRPr="00F512CA">
              <w:rPr>
                <w:i/>
                <w:sz w:val="18"/>
                <w:szCs w:val="18"/>
              </w:rPr>
              <w:t>.</w:t>
            </w:r>
            <w:r w:rsidR="002175AB" w:rsidRPr="00F512CA">
              <w:rPr>
                <w:i/>
                <w:sz w:val="18"/>
                <w:szCs w:val="18"/>
              </w:rPr>
              <w:t>2</w:t>
            </w:r>
          </w:p>
          <w:p w14:paraId="122251E6" w14:textId="77777777" w:rsidR="001B33C2" w:rsidRPr="00F512CA" w:rsidRDefault="001B33C2" w:rsidP="00F512CA">
            <w:pPr>
              <w:rPr>
                <w:sz w:val="18"/>
                <w:szCs w:val="18"/>
              </w:rPr>
            </w:pPr>
          </w:p>
        </w:tc>
        <w:tc>
          <w:tcPr>
            <w:tcW w:w="1080" w:type="dxa"/>
            <w:shd w:val="clear" w:color="auto" w:fill="auto"/>
          </w:tcPr>
          <w:p w14:paraId="49ACA238" w14:textId="77777777" w:rsidR="001B33C2" w:rsidRPr="00F512CA" w:rsidRDefault="001B33C2" w:rsidP="00F512CA">
            <w:pPr>
              <w:rPr>
                <w:rFonts w:cs="Minion Pro"/>
                <w:sz w:val="18"/>
                <w:szCs w:val="18"/>
              </w:rPr>
            </w:pPr>
            <w:r w:rsidRPr="00F512CA">
              <w:rPr>
                <w:rFonts w:cs="Minion Pro"/>
                <w:sz w:val="18"/>
                <w:szCs w:val="18"/>
              </w:rPr>
              <w:t>I = 3</w:t>
            </w:r>
          </w:p>
          <w:p w14:paraId="7ED82AFC" w14:textId="77777777" w:rsidR="001B33C2" w:rsidRPr="00F512CA" w:rsidRDefault="001B33C2" w:rsidP="00F512CA">
            <w:pPr>
              <w:rPr>
                <w:rFonts w:cs="Minion Pro"/>
                <w:sz w:val="18"/>
                <w:szCs w:val="18"/>
              </w:rPr>
            </w:pPr>
            <w:r w:rsidRPr="00F512CA">
              <w:rPr>
                <w:rFonts w:cs="Minion Pro"/>
                <w:sz w:val="18"/>
                <w:szCs w:val="18"/>
              </w:rPr>
              <w:t>P = 2</w:t>
            </w:r>
          </w:p>
        </w:tc>
        <w:tc>
          <w:tcPr>
            <w:tcW w:w="1170" w:type="dxa"/>
            <w:shd w:val="clear" w:color="auto" w:fill="auto"/>
          </w:tcPr>
          <w:p w14:paraId="45F61449" w14:textId="77777777" w:rsidR="001B33C2" w:rsidRPr="00F512CA" w:rsidRDefault="001B33C2" w:rsidP="00F512CA">
            <w:pPr>
              <w:rPr>
                <w:b/>
                <w:sz w:val="18"/>
                <w:szCs w:val="18"/>
              </w:rPr>
            </w:pPr>
            <w:r w:rsidRPr="00F512CA">
              <w:rPr>
                <w:b/>
                <w:sz w:val="18"/>
                <w:szCs w:val="18"/>
              </w:rPr>
              <w:t>Moderate</w:t>
            </w:r>
          </w:p>
        </w:tc>
        <w:tc>
          <w:tcPr>
            <w:tcW w:w="2610" w:type="dxa"/>
            <w:shd w:val="clear" w:color="auto" w:fill="auto"/>
          </w:tcPr>
          <w:p w14:paraId="0C750F69" w14:textId="77777777" w:rsidR="001B33C2" w:rsidRPr="00F512CA" w:rsidRDefault="001B33C2" w:rsidP="00F512CA">
            <w:pPr>
              <w:rPr>
                <w:b/>
                <w:sz w:val="18"/>
                <w:szCs w:val="18"/>
              </w:rPr>
            </w:pPr>
            <w:r w:rsidRPr="00F512CA">
              <w:rPr>
                <w:sz w:val="18"/>
                <w:szCs w:val="18"/>
              </w:rPr>
              <w:t xml:space="preserve">According to some local community members the social fabric of communities, and some cultural relics such as the Doric Fort at </w:t>
            </w:r>
            <w:proofErr w:type="spellStart"/>
            <w:r w:rsidRPr="00F512CA">
              <w:rPr>
                <w:sz w:val="18"/>
                <w:szCs w:val="18"/>
              </w:rPr>
              <w:t>Arippu</w:t>
            </w:r>
            <w:proofErr w:type="spellEnd"/>
            <w:r w:rsidRPr="00F512CA">
              <w:rPr>
                <w:sz w:val="18"/>
                <w:szCs w:val="18"/>
              </w:rPr>
              <w:t xml:space="preserve"> are likely to subjected to deleterious impacts as a result of tourism.   There are two aspects here: the intangible forms of culture such as practices, representations, expressions, knowledge and </w:t>
            </w:r>
            <w:proofErr w:type="gramStart"/>
            <w:r w:rsidRPr="00F512CA">
              <w:rPr>
                <w:sz w:val="18"/>
                <w:szCs w:val="18"/>
              </w:rPr>
              <w:t>skills</w:t>
            </w:r>
            <w:r w:rsidRPr="00F512CA">
              <w:rPr>
                <w:sz w:val="18"/>
                <w:szCs w:val="18"/>
                <w:vertAlign w:val="superscript"/>
              </w:rPr>
              <w:t xml:space="preserve"> </w:t>
            </w:r>
            <w:r w:rsidRPr="00F512CA">
              <w:rPr>
                <w:sz w:val="18"/>
                <w:szCs w:val="18"/>
              </w:rPr>
              <w:t>,</w:t>
            </w:r>
            <w:proofErr w:type="gramEnd"/>
            <w:r w:rsidRPr="00F512CA">
              <w:rPr>
                <w:sz w:val="18"/>
                <w:szCs w:val="18"/>
              </w:rPr>
              <w:t xml:space="preserve"> and the tangible forms such as immovable objects, buildings and archaeological sites.  </w:t>
            </w:r>
          </w:p>
        </w:tc>
        <w:tc>
          <w:tcPr>
            <w:tcW w:w="4770" w:type="dxa"/>
            <w:shd w:val="clear" w:color="auto" w:fill="auto"/>
            <w:vAlign w:val="center"/>
          </w:tcPr>
          <w:p w14:paraId="01DCEF4A" w14:textId="77777777" w:rsidR="001B33C2" w:rsidRPr="00AD424B" w:rsidRDefault="001B33C2" w:rsidP="00CC7C7C">
            <w:pPr>
              <w:rPr>
                <w:sz w:val="18"/>
                <w:szCs w:val="18"/>
              </w:rPr>
            </w:pPr>
            <w:r w:rsidRPr="00AD424B">
              <w:rPr>
                <w:sz w:val="18"/>
                <w:szCs w:val="18"/>
              </w:rPr>
              <w:t>The project is designed to deflect conventional tourism options in preference of low-impact eco-tourism models</w:t>
            </w:r>
            <w:proofErr w:type="gramStart"/>
            <w:r w:rsidRPr="00AD424B">
              <w:rPr>
                <w:sz w:val="18"/>
                <w:szCs w:val="18"/>
              </w:rPr>
              <w:t>. )</w:t>
            </w:r>
            <w:proofErr w:type="gramEnd"/>
            <w:r w:rsidRPr="00AD424B">
              <w:rPr>
                <w:sz w:val="18"/>
                <w:szCs w:val="18"/>
              </w:rPr>
              <w:t xml:space="preserve">.   As the Project has been classified as High Risk (Single High Risk under Standard 5) an ESIA will be conducted and an ESMP prepared and implemented.  The Environmental and Social Management Framework elaborates on how assessment and mitigation of potential impacts will follow UNDP's SES. There will be long and careful discussions with the local people before the project invests in any new tourism development.  On the other hand, the project will be very circumspect in its engagement with private enterprise partners to ensure that such partners are genuinely committed to developing enterprises that will provide benefits in the long term through stabilizing </w:t>
            </w:r>
            <w:r w:rsidR="002175AB" w:rsidRPr="00AD424B">
              <w:rPr>
                <w:sz w:val="18"/>
                <w:szCs w:val="18"/>
              </w:rPr>
              <w:t>impacts of</w:t>
            </w:r>
            <w:r w:rsidRPr="00AD424B">
              <w:rPr>
                <w:sz w:val="18"/>
                <w:szCs w:val="18"/>
              </w:rPr>
              <w:t xml:space="preserve"> </w:t>
            </w:r>
            <w:proofErr w:type="gramStart"/>
            <w:r w:rsidRPr="00AD424B">
              <w:rPr>
                <w:sz w:val="18"/>
                <w:szCs w:val="18"/>
              </w:rPr>
              <w:t>local  livelihoods</w:t>
            </w:r>
            <w:proofErr w:type="gramEnd"/>
            <w:r w:rsidRPr="00AD424B">
              <w:rPr>
                <w:sz w:val="18"/>
                <w:szCs w:val="18"/>
              </w:rPr>
              <w:t xml:space="preserve"> on species and hab</w:t>
            </w:r>
            <w:r w:rsidRPr="00AD424B">
              <w:rPr>
                <w:rFonts w:cs="Arial"/>
                <w:sz w:val="18"/>
                <w:szCs w:val="18"/>
              </w:rPr>
              <w:t xml:space="preserve">itats.   </w:t>
            </w:r>
            <w:r w:rsidR="00CC7C7C" w:rsidRPr="00AD424B">
              <w:rPr>
                <w:rFonts w:cs="Arial"/>
                <w:sz w:val="18"/>
                <w:szCs w:val="18"/>
              </w:rPr>
              <w:t>The Project will anticipate the need for a Cultural Heritage Management Plan as an outcome of the ESIA and ESMP development.  Private sector operators will be encouraged to adhere to an agreed management plan for tourist activities at Cultural Heritage sites.</w:t>
            </w:r>
          </w:p>
        </w:tc>
      </w:tr>
      <w:tr w:rsidR="001B33C2" w14:paraId="742FA352" w14:textId="77777777" w:rsidTr="00F512CA">
        <w:tc>
          <w:tcPr>
            <w:tcW w:w="3510" w:type="dxa"/>
          </w:tcPr>
          <w:p w14:paraId="5AF7E9FA" w14:textId="44629D50" w:rsidR="001B33C2" w:rsidRPr="00F512CA" w:rsidRDefault="001B33C2" w:rsidP="00F512CA">
            <w:pPr>
              <w:rPr>
                <w:sz w:val="18"/>
                <w:szCs w:val="18"/>
              </w:rPr>
            </w:pPr>
            <w:r w:rsidRPr="00F512CA">
              <w:rPr>
                <w:b/>
                <w:sz w:val="18"/>
                <w:szCs w:val="18"/>
              </w:rPr>
              <w:t>Risk 6:</w:t>
            </w:r>
            <w:r w:rsidR="00F512CA" w:rsidRPr="00F512CA">
              <w:rPr>
                <w:b/>
                <w:sz w:val="18"/>
                <w:szCs w:val="18"/>
              </w:rPr>
              <w:t xml:space="preserve"> </w:t>
            </w:r>
            <w:r w:rsidRPr="00F512CA">
              <w:rPr>
                <w:sz w:val="18"/>
                <w:szCs w:val="18"/>
              </w:rPr>
              <w:t xml:space="preserve">In order to implement the Project's landscape conservation strategic designs, the Government might decide to resettle people currently living in Proposed Elephant Corridors (PECs). </w:t>
            </w:r>
          </w:p>
          <w:p w14:paraId="73D7F129" w14:textId="77777777" w:rsidR="001B33C2" w:rsidRPr="00F512CA" w:rsidRDefault="001B33C2" w:rsidP="00F512CA">
            <w:pPr>
              <w:rPr>
                <w:sz w:val="18"/>
                <w:szCs w:val="18"/>
              </w:rPr>
            </w:pPr>
          </w:p>
          <w:p w14:paraId="3E4BADD4" w14:textId="77777777" w:rsidR="002175AB" w:rsidRPr="00F512CA" w:rsidRDefault="002175AB" w:rsidP="00F512CA">
            <w:pPr>
              <w:rPr>
                <w:b/>
                <w:i/>
                <w:sz w:val="18"/>
                <w:szCs w:val="18"/>
              </w:rPr>
            </w:pPr>
            <w:r w:rsidRPr="00F512CA">
              <w:rPr>
                <w:b/>
                <w:i/>
                <w:sz w:val="18"/>
                <w:szCs w:val="18"/>
              </w:rPr>
              <w:t>Referred to SESP attachment 1:</w:t>
            </w:r>
          </w:p>
          <w:p w14:paraId="78586246" w14:textId="77777777" w:rsidR="002175AB" w:rsidRPr="00F512CA" w:rsidRDefault="002175AB" w:rsidP="00F512CA">
            <w:pPr>
              <w:rPr>
                <w:rFonts w:eastAsia="Times New Roman"/>
                <w:i/>
                <w:sz w:val="18"/>
                <w:szCs w:val="18"/>
              </w:rPr>
            </w:pPr>
            <w:r w:rsidRPr="00F512CA">
              <w:rPr>
                <w:i/>
                <w:sz w:val="18"/>
                <w:szCs w:val="18"/>
              </w:rPr>
              <w:t>Principle 1, Q.3; Principle 3, Standard 5, Questions 5.1, 5.2, 5.4</w:t>
            </w:r>
          </w:p>
          <w:p w14:paraId="71BF0379" w14:textId="77777777" w:rsidR="002175AB" w:rsidRPr="00F512CA" w:rsidRDefault="002175AB" w:rsidP="00F512CA">
            <w:pPr>
              <w:rPr>
                <w:rFonts w:eastAsia="Times New Roman"/>
                <w:i/>
                <w:sz w:val="18"/>
                <w:szCs w:val="18"/>
              </w:rPr>
            </w:pPr>
          </w:p>
          <w:p w14:paraId="47F53676" w14:textId="1BFCBF55" w:rsidR="001B33C2" w:rsidRPr="00F512CA" w:rsidRDefault="001B33C2" w:rsidP="00F512CA">
            <w:pPr>
              <w:rPr>
                <w:sz w:val="18"/>
                <w:szCs w:val="18"/>
              </w:rPr>
            </w:pPr>
          </w:p>
        </w:tc>
        <w:tc>
          <w:tcPr>
            <w:tcW w:w="1080" w:type="dxa"/>
          </w:tcPr>
          <w:p w14:paraId="2537304D" w14:textId="77777777" w:rsidR="001B33C2" w:rsidRPr="00F512CA" w:rsidRDefault="001B33C2" w:rsidP="00F512CA">
            <w:pPr>
              <w:rPr>
                <w:rFonts w:cs="Minion Pro"/>
                <w:sz w:val="18"/>
                <w:szCs w:val="18"/>
              </w:rPr>
            </w:pPr>
            <w:r w:rsidRPr="00F512CA">
              <w:rPr>
                <w:rFonts w:cs="Minion Pro"/>
                <w:sz w:val="18"/>
                <w:szCs w:val="18"/>
              </w:rPr>
              <w:t>I = 4</w:t>
            </w:r>
          </w:p>
          <w:p w14:paraId="5144AEDF" w14:textId="77777777" w:rsidR="001B33C2" w:rsidRPr="00F512CA" w:rsidRDefault="001B33C2" w:rsidP="00F512CA">
            <w:pPr>
              <w:rPr>
                <w:rFonts w:cs="Minion Pro"/>
                <w:sz w:val="18"/>
                <w:szCs w:val="18"/>
              </w:rPr>
            </w:pPr>
            <w:r w:rsidRPr="00F512CA">
              <w:rPr>
                <w:rFonts w:cs="Minion Pro"/>
                <w:sz w:val="18"/>
                <w:szCs w:val="18"/>
              </w:rPr>
              <w:t>P = 3</w:t>
            </w:r>
          </w:p>
        </w:tc>
        <w:tc>
          <w:tcPr>
            <w:tcW w:w="1170" w:type="dxa"/>
          </w:tcPr>
          <w:p w14:paraId="52F583FE" w14:textId="77777777" w:rsidR="001B33C2" w:rsidRPr="00F512CA" w:rsidRDefault="001B33C2" w:rsidP="00F512CA">
            <w:pPr>
              <w:rPr>
                <w:b/>
                <w:sz w:val="18"/>
                <w:szCs w:val="18"/>
              </w:rPr>
            </w:pPr>
            <w:r w:rsidRPr="00F512CA">
              <w:rPr>
                <w:b/>
                <w:sz w:val="18"/>
                <w:szCs w:val="18"/>
              </w:rPr>
              <w:t>High</w:t>
            </w:r>
          </w:p>
        </w:tc>
        <w:tc>
          <w:tcPr>
            <w:tcW w:w="2610" w:type="dxa"/>
          </w:tcPr>
          <w:p w14:paraId="2FD57F17" w14:textId="77777777" w:rsidR="001B33C2" w:rsidRPr="00F512CA" w:rsidRDefault="001B33C2" w:rsidP="00F512CA">
            <w:pPr>
              <w:rPr>
                <w:sz w:val="18"/>
                <w:szCs w:val="18"/>
              </w:rPr>
            </w:pPr>
            <w:r w:rsidRPr="00F512CA">
              <w:rPr>
                <w:sz w:val="18"/>
                <w:szCs w:val="18"/>
              </w:rPr>
              <w:t xml:space="preserve">Two of the three PECs in the Project Trial Landscapes have been proposed under different Projects. Implementation is expected to take place and to be funded by those projects. Precise delineation of any such corridors or forest areas will not be determined until the landscape designs and land use plans are completed by considering all relevant factors during the landscape planning process, so specific details of the need for any such resettlement are not available.  </w:t>
            </w:r>
          </w:p>
        </w:tc>
        <w:tc>
          <w:tcPr>
            <w:tcW w:w="4770" w:type="dxa"/>
          </w:tcPr>
          <w:p w14:paraId="2C796AB3" w14:textId="77777777" w:rsidR="00D32F4C" w:rsidRPr="00AD424B" w:rsidRDefault="00D32F4C" w:rsidP="00D32F4C">
            <w:pPr>
              <w:widowControl w:val="0"/>
              <w:autoSpaceDE w:val="0"/>
              <w:autoSpaceDN w:val="0"/>
              <w:adjustRightInd w:val="0"/>
              <w:rPr>
                <w:rFonts w:cs="Arial"/>
                <w:sz w:val="18"/>
                <w:szCs w:val="18"/>
              </w:rPr>
            </w:pPr>
            <w:r w:rsidRPr="00AD424B">
              <w:rPr>
                <w:rFonts w:ascii="Arial" w:hAnsi="Arial" w:cs="Arial"/>
                <w:sz w:val="18"/>
                <w:szCs w:val="18"/>
              </w:rPr>
              <w:t xml:space="preserve">It is not possible at this stage to predict a) whether </w:t>
            </w:r>
            <w:r w:rsidRPr="00AD424B">
              <w:rPr>
                <w:rFonts w:cs="Arial"/>
                <w:sz w:val="18"/>
                <w:szCs w:val="18"/>
              </w:rPr>
              <w:t xml:space="preserve">involuntary resettlements will be included and </w:t>
            </w:r>
            <w:proofErr w:type="gramStart"/>
            <w:r w:rsidRPr="00AD424B">
              <w:rPr>
                <w:rFonts w:cs="Arial"/>
                <w:sz w:val="18"/>
                <w:szCs w:val="18"/>
              </w:rPr>
              <w:t>endorsed  under</w:t>
            </w:r>
            <w:proofErr w:type="gramEnd"/>
            <w:r w:rsidRPr="00AD424B">
              <w:rPr>
                <w:rFonts w:cs="Arial"/>
                <w:sz w:val="18"/>
                <w:szCs w:val="18"/>
              </w:rPr>
              <w:t xml:space="preserve"> the landscape designs, and b) exactly where and how many people would be involved.  No Project funds will be applied to any involuntary relocations, but the causal pathway leading to negative impacts of any such relocations may ultimately be traced back to the landscape designs developed as an integral part of Project activities.   A clear course of action is laid down in case involuntary relocations become the recommended course of action under the Project's landscape designs (see Annex E). </w:t>
            </w:r>
          </w:p>
          <w:p w14:paraId="48FF2A98" w14:textId="77777777" w:rsidR="00D32F4C" w:rsidRPr="00AD424B" w:rsidRDefault="00D32F4C" w:rsidP="00D32F4C">
            <w:pPr>
              <w:rPr>
                <w:rFonts w:cs="Arial"/>
                <w:sz w:val="18"/>
                <w:szCs w:val="18"/>
              </w:rPr>
            </w:pPr>
            <w:r w:rsidRPr="00AD424B">
              <w:rPr>
                <w:rFonts w:cs="Arial"/>
                <w:sz w:val="18"/>
                <w:szCs w:val="18"/>
              </w:rPr>
              <w:t>In view of these circumstances it is clear that the risks of deleterious impacts arising from poorly implemented involuntary relocations taking place in the Trial Landscapes must be addressed proactively.  he Project will concentrate on finding solutions that provide for elephant conservation at the same time as ensuring the well-being of local residents and, in particular, avoid involuntary, or indeed voluntary, resettlement.    If and when it is decided to pursue any resettlement, or endorse it by association, a full ESIA will be carried out (see end of Annex E) according to standards established in The Sri Lankan National Involuntary Resettlement Policy (NIRP) 2001</w:t>
            </w:r>
            <w:r w:rsidRPr="00AD424B">
              <w:rPr>
                <w:rStyle w:val="EndnoteReference"/>
                <w:rFonts w:cs="Arial"/>
                <w:sz w:val="18"/>
                <w:szCs w:val="18"/>
              </w:rPr>
              <w:endnoteReference w:id="2"/>
            </w:r>
            <w:r w:rsidRPr="00AD424B">
              <w:rPr>
                <w:rFonts w:cs="Arial"/>
                <w:sz w:val="18"/>
                <w:szCs w:val="18"/>
              </w:rPr>
              <w:t xml:space="preserve">  OP 4.12, UNDP Social and Environmental Standards (SES)</w:t>
            </w:r>
            <w:r w:rsidRPr="00AD424B">
              <w:rPr>
                <w:rStyle w:val="EndnoteReference"/>
                <w:rFonts w:cs="Arial"/>
                <w:sz w:val="18"/>
                <w:szCs w:val="18"/>
              </w:rPr>
              <w:endnoteReference w:id="3"/>
            </w:r>
            <w:r w:rsidRPr="00AD424B">
              <w:rPr>
                <w:rFonts w:cs="Arial"/>
                <w:sz w:val="18"/>
                <w:szCs w:val="18"/>
              </w:rPr>
              <w:t>, and the updated GEF policy on environmental and social safeguards</w:t>
            </w:r>
            <w:r w:rsidRPr="00AD424B">
              <w:rPr>
                <w:rStyle w:val="EndnoteReference"/>
                <w:rFonts w:cs="Arial"/>
                <w:sz w:val="18"/>
                <w:szCs w:val="18"/>
              </w:rPr>
              <w:endnoteReference w:id="4"/>
            </w:r>
            <w:r w:rsidRPr="00AD424B">
              <w:rPr>
                <w:rFonts w:cs="Arial"/>
                <w:sz w:val="18"/>
                <w:szCs w:val="18"/>
              </w:rPr>
              <w:t xml:space="preserve">. </w:t>
            </w:r>
          </w:p>
          <w:p w14:paraId="0011F3B2" w14:textId="77777777" w:rsidR="00D32F4C" w:rsidRPr="00AD424B" w:rsidRDefault="00D32F4C" w:rsidP="00D32F4C">
            <w:pPr>
              <w:rPr>
                <w:rFonts w:cs="Arial"/>
                <w:sz w:val="18"/>
                <w:szCs w:val="18"/>
              </w:rPr>
            </w:pPr>
          </w:p>
          <w:p w14:paraId="4BBEAB69" w14:textId="77777777" w:rsidR="00D32F4C" w:rsidRPr="00AD424B" w:rsidRDefault="00D32F4C" w:rsidP="00D32F4C">
            <w:pPr>
              <w:widowControl w:val="0"/>
              <w:autoSpaceDE w:val="0"/>
              <w:autoSpaceDN w:val="0"/>
              <w:adjustRightInd w:val="0"/>
              <w:rPr>
                <w:sz w:val="18"/>
                <w:szCs w:val="18"/>
              </w:rPr>
            </w:pPr>
            <w:r w:rsidRPr="00AD424B">
              <w:rPr>
                <w:rFonts w:cs="Arial"/>
                <w:sz w:val="18"/>
                <w:szCs w:val="18"/>
              </w:rPr>
              <w:t xml:space="preserve">In the </w:t>
            </w:r>
            <w:proofErr w:type="gramStart"/>
            <w:r w:rsidRPr="00AD424B">
              <w:rPr>
                <w:rFonts w:cs="Arial"/>
                <w:sz w:val="18"/>
                <w:szCs w:val="18"/>
              </w:rPr>
              <w:t>meantime</w:t>
            </w:r>
            <w:proofErr w:type="gramEnd"/>
            <w:r w:rsidRPr="00AD424B">
              <w:rPr>
                <w:rFonts w:cs="Arial"/>
                <w:sz w:val="18"/>
                <w:szCs w:val="18"/>
              </w:rPr>
              <w:t xml:space="preserve"> the project will include as part of its already planned extensive community engagement a process for vetting options on addressing human-elephant conflict issues, which may include community-determined restrictions on natural resource access and potential voluntary relocation agreements where appropriate. </w:t>
            </w:r>
          </w:p>
          <w:p w14:paraId="6CC2BA61" w14:textId="77777777" w:rsidR="00D32F4C" w:rsidRPr="00AD424B" w:rsidRDefault="00D32F4C" w:rsidP="00D32F4C">
            <w:pPr>
              <w:widowControl w:val="0"/>
              <w:autoSpaceDE w:val="0"/>
              <w:autoSpaceDN w:val="0"/>
              <w:adjustRightInd w:val="0"/>
              <w:rPr>
                <w:sz w:val="18"/>
                <w:szCs w:val="18"/>
              </w:rPr>
            </w:pPr>
          </w:p>
          <w:p w14:paraId="0574FD8C" w14:textId="77777777" w:rsidR="001B33C2" w:rsidRPr="00AD424B" w:rsidRDefault="001B33C2" w:rsidP="00FD453D">
            <w:pPr>
              <w:widowControl w:val="0"/>
              <w:autoSpaceDE w:val="0"/>
              <w:autoSpaceDN w:val="0"/>
              <w:adjustRightInd w:val="0"/>
              <w:rPr>
                <w:sz w:val="18"/>
                <w:szCs w:val="18"/>
              </w:rPr>
            </w:pPr>
            <w:r w:rsidRPr="00AD424B">
              <w:rPr>
                <w:sz w:val="18"/>
                <w:szCs w:val="18"/>
              </w:rPr>
              <w:t xml:space="preserve"> An ESMF has been prepared</w:t>
            </w:r>
            <w:r w:rsidR="00D32F4C" w:rsidRPr="00AD424B">
              <w:rPr>
                <w:sz w:val="18"/>
                <w:szCs w:val="18"/>
              </w:rPr>
              <w:t xml:space="preserve"> as a guide by which to assess the actions of government of other donor agencies that may implement involuntary relocations.  When appropriate, the ESMF</w:t>
            </w:r>
            <w:r w:rsidRPr="00AD424B">
              <w:rPr>
                <w:sz w:val="18"/>
                <w:szCs w:val="18"/>
              </w:rPr>
              <w:t xml:space="preserve"> will guide the conduct of an ESIA and the preparation of an ESMP, and in the event of economic or physical displacement becoming likely, LAP and RAP</w:t>
            </w:r>
            <w:r w:rsidR="00D32F4C" w:rsidRPr="00AD424B">
              <w:rPr>
                <w:sz w:val="18"/>
                <w:szCs w:val="18"/>
              </w:rPr>
              <w:t xml:space="preserve">s will be prepared as necessary </w:t>
            </w:r>
            <w:r w:rsidR="00FD453D" w:rsidRPr="00AD424B">
              <w:rPr>
                <w:sz w:val="18"/>
                <w:szCs w:val="18"/>
              </w:rPr>
              <w:t>as a basis to guide and</w:t>
            </w:r>
            <w:r w:rsidR="00FD453D" w:rsidRPr="00AD424B">
              <w:rPr>
                <w:rFonts w:cs="Menlo"/>
                <w:sz w:val="18"/>
                <w:szCs w:val="18"/>
              </w:rPr>
              <w:t xml:space="preserve"> advise government on measures to reduce potential involuntary resettlement as part of both the landscape planning and the implementation of the resulting landscape designs, including dealing with the risks of economic displacement and requirement for livelihood restoration.</w:t>
            </w:r>
            <w:r w:rsidRPr="00AD424B">
              <w:rPr>
                <w:sz w:val="18"/>
                <w:szCs w:val="18"/>
              </w:rPr>
              <w:t xml:space="preserve">  </w:t>
            </w:r>
          </w:p>
        </w:tc>
      </w:tr>
      <w:tr w:rsidR="001B33C2" w14:paraId="16C15E3B" w14:textId="77777777" w:rsidTr="00F512CA">
        <w:trPr>
          <w:trHeight w:val="396"/>
        </w:trPr>
        <w:tc>
          <w:tcPr>
            <w:tcW w:w="3510" w:type="dxa"/>
          </w:tcPr>
          <w:p w14:paraId="35190C0E" w14:textId="4324AB8D" w:rsidR="001B33C2" w:rsidRPr="00F512CA" w:rsidRDefault="001B33C2" w:rsidP="00F512CA">
            <w:pPr>
              <w:rPr>
                <w:rFonts w:cstheme="majorHAnsi"/>
                <w:sz w:val="18"/>
                <w:szCs w:val="18"/>
              </w:rPr>
            </w:pPr>
            <w:r w:rsidRPr="00F512CA">
              <w:rPr>
                <w:rFonts w:cstheme="majorHAnsi"/>
                <w:b/>
                <w:sz w:val="18"/>
                <w:szCs w:val="18"/>
              </w:rPr>
              <w:t>Risk 7:</w:t>
            </w:r>
            <w:r w:rsidR="00F512CA" w:rsidRPr="00F512CA">
              <w:rPr>
                <w:rFonts w:cstheme="majorHAnsi"/>
                <w:b/>
                <w:sz w:val="18"/>
                <w:szCs w:val="18"/>
              </w:rPr>
              <w:t xml:space="preserve"> </w:t>
            </w:r>
            <w:r w:rsidRPr="00F512CA">
              <w:rPr>
                <w:rFonts w:cstheme="majorHAnsi"/>
                <w:sz w:val="18"/>
                <w:szCs w:val="18"/>
              </w:rPr>
              <w:t xml:space="preserve">Participation in community-based planning and implementation is dominated by people from traditionally empowered groups and under-represents women and other marginalized people, including those facing uncertain futures as a result, for example, of poverty, the recent </w:t>
            </w:r>
            <w:r w:rsidR="00F97C5A" w:rsidRPr="00F512CA">
              <w:rPr>
                <w:rFonts w:cstheme="majorHAnsi"/>
                <w:sz w:val="18"/>
                <w:szCs w:val="18"/>
              </w:rPr>
              <w:t>three-year</w:t>
            </w:r>
            <w:r w:rsidRPr="00F512CA">
              <w:rPr>
                <w:rFonts w:cstheme="majorHAnsi"/>
                <w:sz w:val="18"/>
                <w:szCs w:val="18"/>
              </w:rPr>
              <w:t xml:space="preserve"> drought, and land-tenure disputes</w:t>
            </w:r>
          </w:p>
          <w:p w14:paraId="1CF04077" w14:textId="77777777" w:rsidR="002175AB" w:rsidRPr="00F512CA" w:rsidRDefault="002175AB" w:rsidP="00F512CA">
            <w:pPr>
              <w:rPr>
                <w:rFonts w:cstheme="majorHAnsi"/>
                <w:b/>
                <w:sz w:val="18"/>
                <w:szCs w:val="18"/>
              </w:rPr>
            </w:pPr>
          </w:p>
          <w:p w14:paraId="47E5E4BB" w14:textId="77777777" w:rsidR="002175AB" w:rsidRPr="00F512CA" w:rsidRDefault="002175AB" w:rsidP="00F512CA">
            <w:pPr>
              <w:rPr>
                <w:b/>
                <w:i/>
                <w:sz w:val="18"/>
                <w:szCs w:val="18"/>
              </w:rPr>
            </w:pPr>
            <w:r w:rsidRPr="00F512CA">
              <w:rPr>
                <w:b/>
                <w:i/>
                <w:sz w:val="18"/>
                <w:szCs w:val="18"/>
              </w:rPr>
              <w:t>Referred to SESP attachment 1:</w:t>
            </w:r>
          </w:p>
          <w:p w14:paraId="7D23BAF7" w14:textId="79325BE8" w:rsidR="00E41315" w:rsidRPr="00F512CA" w:rsidRDefault="002175AB" w:rsidP="00F512CA">
            <w:pPr>
              <w:rPr>
                <w:i/>
                <w:sz w:val="18"/>
                <w:szCs w:val="18"/>
              </w:rPr>
            </w:pPr>
            <w:r w:rsidRPr="00F512CA">
              <w:rPr>
                <w:i/>
                <w:sz w:val="18"/>
                <w:szCs w:val="18"/>
              </w:rPr>
              <w:t>Principle 2, Question 3</w:t>
            </w:r>
          </w:p>
        </w:tc>
        <w:tc>
          <w:tcPr>
            <w:tcW w:w="1080" w:type="dxa"/>
          </w:tcPr>
          <w:p w14:paraId="5EC8A178" w14:textId="77777777" w:rsidR="001B33C2" w:rsidRPr="00F512CA" w:rsidRDefault="001B33C2" w:rsidP="00F512CA">
            <w:pPr>
              <w:rPr>
                <w:rFonts w:cstheme="majorHAnsi"/>
                <w:sz w:val="18"/>
                <w:szCs w:val="18"/>
              </w:rPr>
            </w:pPr>
            <w:r w:rsidRPr="00F512CA">
              <w:rPr>
                <w:rFonts w:cstheme="majorHAnsi"/>
                <w:sz w:val="18"/>
                <w:szCs w:val="18"/>
              </w:rPr>
              <w:t>I=3</w:t>
            </w:r>
          </w:p>
          <w:p w14:paraId="51E76FA7" w14:textId="77777777" w:rsidR="001B33C2" w:rsidRPr="00F512CA" w:rsidRDefault="001B33C2" w:rsidP="00F512CA">
            <w:pPr>
              <w:rPr>
                <w:rFonts w:cstheme="majorHAnsi"/>
                <w:sz w:val="18"/>
                <w:szCs w:val="18"/>
              </w:rPr>
            </w:pPr>
            <w:r w:rsidRPr="00F512CA">
              <w:rPr>
                <w:rFonts w:cstheme="majorHAnsi"/>
                <w:sz w:val="18"/>
                <w:szCs w:val="18"/>
              </w:rPr>
              <w:t>P=1</w:t>
            </w:r>
          </w:p>
        </w:tc>
        <w:tc>
          <w:tcPr>
            <w:tcW w:w="1170" w:type="dxa"/>
          </w:tcPr>
          <w:p w14:paraId="36B34B8F" w14:textId="77777777" w:rsidR="001B33C2" w:rsidRPr="00F512CA" w:rsidRDefault="001B33C2" w:rsidP="00F512CA">
            <w:pPr>
              <w:rPr>
                <w:rFonts w:cstheme="majorHAnsi"/>
                <w:b/>
                <w:sz w:val="18"/>
                <w:szCs w:val="18"/>
              </w:rPr>
            </w:pPr>
            <w:r w:rsidRPr="00F512CA">
              <w:rPr>
                <w:rFonts w:cstheme="majorHAnsi"/>
                <w:b/>
                <w:sz w:val="18"/>
                <w:szCs w:val="18"/>
              </w:rPr>
              <w:t>Low</w:t>
            </w:r>
          </w:p>
        </w:tc>
        <w:tc>
          <w:tcPr>
            <w:tcW w:w="2610" w:type="dxa"/>
          </w:tcPr>
          <w:p w14:paraId="17668A63" w14:textId="77777777" w:rsidR="001B33C2" w:rsidRPr="00F512CA" w:rsidRDefault="001B33C2" w:rsidP="00F512CA">
            <w:pPr>
              <w:rPr>
                <w:rFonts w:cstheme="majorHAnsi"/>
                <w:sz w:val="18"/>
                <w:szCs w:val="18"/>
              </w:rPr>
            </w:pPr>
            <w:r w:rsidRPr="00F512CA">
              <w:rPr>
                <w:rFonts w:cstheme="majorHAnsi"/>
                <w:sz w:val="18"/>
                <w:szCs w:val="18"/>
              </w:rPr>
              <w:t xml:space="preserve">Considerable attention has been given to gender matters in project design, and there is already a full Gender Action Plan, but a low risk remains that women will be underrepresented in decision making and as implementers of project activities. </w:t>
            </w:r>
          </w:p>
        </w:tc>
        <w:tc>
          <w:tcPr>
            <w:tcW w:w="4770" w:type="dxa"/>
          </w:tcPr>
          <w:p w14:paraId="53D7BED9" w14:textId="77777777" w:rsidR="001B33C2" w:rsidRPr="00AD424B" w:rsidRDefault="001B33C2" w:rsidP="00FD453D">
            <w:pPr>
              <w:tabs>
                <w:tab w:val="left" w:pos="360"/>
              </w:tabs>
              <w:rPr>
                <w:rFonts w:cstheme="majorHAnsi"/>
                <w:b/>
                <w:sz w:val="18"/>
                <w:szCs w:val="18"/>
              </w:rPr>
            </w:pPr>
            <w:r w:rsidRPr="00AD424B">
              <w:rPr>
                <w:rFonts w:cstheme="majorHAnsi"/>
                <w:sz w:val="18"/>
                <w:szCs w:val="18"/>
              </w:rPr>
              <w:t>Project staff will be well trained in community-</w:t>
            </w:r>
            <w:proofErr w:type="spellStart"/>
            <w:r w:rsidRPr="00AD424B">
              <w:rPr>
                <w:rFonts w:cstheme="majorHAnsi"/>
                <w:sz w:val="18"/>
                <w:szCs w:val="18"/>
              </w:rPr>
              <w:t>centred</w:t>
            </w:r>
            <w:proofErr w:type="spellEnd"/>
            <w:r w:rsidRPr="00AD424B">
              <w:rPr>
                <w:rFonts w:cstheme="majorHAnsi"/>
                <w:sz w:val="18"/>
                <w:szCs w:val="18"/>
              </w:rPr>
              <w:t xml:space="preserve"> participatory processes and will live on site full time in the communities they are working with, thus building up understanding of social pressures and how to address them in the context of the project. Participatory mechanisms will be slow in pace and will focus on ensuring that there is no "elite capture" of community benefits, and that traditionally less-empowered groups of society are engaged.</w:t>
            </w:r>
            <w:r w:rsidR="00FD453D" w:rsidRPr="00AD424B">
              <w:rPr>
                <w:rFonts w:cstheme="majorHAnsi"/>
                <w:sz w:val="18"/>
                <w:szCs w:val="18"/>
              </w:rPr>
              <w:t xml:space="preserve"> </w:t>
            </w:r>
            <w:r w:rsidR="00FD453D" w:rsidRPr="00AD424B">
              <w:rPr>
                <w:sz w:val="18"/>
                <w:szCs w:val="18"/>
              </w:rPr>
              <w:t xml:space="preserve"> The Project has prepared a comprehensive Gender Action Plan to achieve equitable participation in decision making and action for women in all aspects of the Project and its </w:t>
            </w:r>
            <w:proofErr w:type="spellStart"/>
            <w:r w:rsidR="00FD453D" w:rsidRPr="00AD424B">
              <w:rPr>
                <w:sz w:val="18"/>
                <w:szCs w:val="18"/>
              </w:rPr>
              <w:t>implemtation</w:t>
            </w:r>
            <w:proofErr w:type="spellEnd"/>
            <w:r w:rsidR="00FD453D" w:rsidRPr="00AD424B">
              <w:rPr>
                <w:sz w:val="18"/>
                <w:szCs w:val="18"/>
              </w:rPr>
              <w:t xml:space="preserve"> will be given high priority. </w:t>
            </w:r>
          </w:p>
        </w:tc>
      </w:tr>
    </w:tbl>
    <w:p w14:paraId="1348B748" w14:textId="77777777" w:rsidR="001B33C2" w:rsidRDefault="001B33C2" w:rsidP="001B33C2"/>
    <w:p w14:paraId="67AC0152" w14:textId="77777777" w:rsidR="00BC440A" w:rsidRDefault="00BC440A"/>
    <w:p w14:paraId="4CBBA185" w14:textId="77777777" w:rsidR="001B33C2" w:rsidRDefault="001B33C2"/>
    <w:p w14:paraId="55305963" w14:textId="77777777" w:rsidR="001B33C2" w:rsidRDefault="001B33C2"/>
    <w:tbl>
      <w:tblPr>
        <w:tblStyle w:val="TableGrid"/>
        <w:tblW w:w="13140" w:type="dxa"/>
        <w:tblInd w:w="-5" w:type="dxa"/>
        <w:tblLayout w:type="fixed"/>
        <w:tblLook w:val="04A0" w:firstRow="1" w:lastRow="0" w:firstColumn="1" w:lastColumn="0" w:noHBand="0" w:noVBand="1"/>
      </w:tblPr>
      <w:tblGrid>
        <w:gridCol w:w="3510"/>
        <w:gridCol w:w="4343"/>
        <w:gridCol w:w="540"/>
        <w:gridCol w:w="4747"/>
      </w:tblGrid>
      <w:tr w:rsidR="00C055DB" w14:paraId="109A6C22" w14:textId="77777777" w:rsidTr="002A2BCE">
        <w:trPr>
          <w:trHeight w:val="593"/>
        </w:trPr>
        <w:tc>
          <w:tcPr>
            <w:tcW w:w="3510" w:type="dxa"/>
            <w:vMerge w:val="restart"/>
          </w:tcPr>
          <w:p w14:paraId="3AE1FE49" w14:textId="77777777" w:rsidR="00C055DB" w:rsidRDefault="00C055DB" w:rsidP="00C055DB">
            <w:pPr>
              <w:rPr>
                <w:b/>
                <w:szCs w:val="20"/>
              </w:rPr>
            </w:pPr>
          </w:p>
        </w:tc>
        <w:tc>
          <w:tcPr>
            <w:tcW w:w="9630" w:type="dxa"/>
            <w:gridSpan w:val="3"/>
            <w:shd w:val="clear" w:color="auto" w:fill="0F243E" w:themeFill="text2" w:themeFillShade="80"/>
          </w:tcPr>
          <w:p w14:paraId="0AE50FC3" w14:textId="77777777"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62C592EC" w14:textId="77777777" w:rsidTr="002A2BCE">
        <w:tc>
          <w:tcPr>
            <w:tcW w:w="3510" w:type="dxa"/>
            <w:vMerge/>
          </w:tcPr>
          <w:p w14:paraId="0F3301FC" w14:textId="77777777" w:rsidR="00483E64" w:rsidRPr="00372083" w:rsidRDefault="00483E64" w:rsidP="00C055DB">
            <w:pPr>
              <w:rPr>
                <w:sz w:val="18"/>
                <w:szCs w:val="18"/>
                <w:u w:val="single"/>
              </w:rPr>
            </w:pPr>
          </w:p>
        </w:tc>
        <w:tc>
          <w:tcPr>
            <w:tcW w:w="4883" w:type="dxa"/>
            <w:gridSpan w:val="2"/>
          </w:tcPr>
          <w:p w14:paraId="32DFEBC7" w14:textId="77777777" w:rsidR="00483E64" w:rsidRPr="00372083" w:rsidRDefault="008C711F" w:rsidP="008C711F">
            <w:pPr>
              <w:jc w:val="center"/>
              <w:rPr>
                <w:b/>
                <w:sz w:val="18"/>
                <w:szCs w:val="18"/>
              </w:rPr>
            </w:pPr>
            <w:r>
              <w:rPr>
                <w:b/>
                <w:sz w:val="18"/>
                <w:szCs w:val="18"/>
              </w:rPr>
              <w:t xml:space="preserve">Select one (see </w:t>
            </w:r>
            <w:hyperlink r:id="rId11" w:history="1">
              <w:r w:rsidRPr="00AA456F">
                <w:rPr>
                  <w:rStyle w:val="Hyperlink"/>
                  <w:b/>
                  <w:sz w:val="18"/>
                  <w:szCs w:val="18"/>
                </w:rPr>
                <w:t>SESP</w:t>
              </w:r>
            </w:hyperlink>
            <w:r>
              <w:rPr>
                <w:b/>
                <w:sz w:val="18"/>
                <w:szCs w:val="18"/>
              </w:rPr>
              <w:t xml:space="preserve"> for guidance)</w:t>
            </w:r>
          </w:p>
        </w:tc>
        <w:tc>
          <w:tcPr>
            <w:tcW w:w="4747" w:type="dxa"/>
          </w:tcPr>
          <w:p w14:paraId="5364F2DB" w14:textId="77777777" w:rsidR="00483E64" w:rsidRPr="00372083" w:rsidRDefault="00483E64" w:rsidP="00C055DB">
            <w:pPr>
              <w:jc w:val="center"/>
              <w:rPr>
                <w:b/>
                <w:sz w:val="18"/>
                <w:szCs w:val="18"/>
              </w:rPr>
            </w:pPr>
            <w:r>
              <w:rPr>
                <w:b/>
                <w:sz w:val="18"/>
                <w:szCs w:val="18"/>
              </w:rPr>
              <w:t>Comments</w:t>
            </w:r>
          </w:p>
        </w:tc>
      </w:tr>
      <w:tr w:rsidR="00483E64" w14:paraId="04239AE9" w14:textId="77777777" w:rsidTr="002A2BCE">
        <w:trPr>
          <w:trHeight w:val="251"/>
        </w:trPr>
        <w:tc>
          <w:tcPr>
            <w:tcW w:w="3510" w:type="dxa"/>
            <w:vMerge/>
          </w:tcPr>
          <w:p w14:paraId="50A25FFE" w14:textId="77777777" w:rsidR="00C055DB" w:rsidRDefault="00C055DB" w:rsidP="00C055DB">
            <w:pPr>
              <w:rPr>
                <w:rFonts w:cs="Minion Pro"/>
                <w:sz w:val="18"/>
                <w:szCs w:val="18"/>
              </w:rPr>
            </w:pPr>
          </w:p>
        </w:tc>
        <w:tc>
          <w:tcPr>
            <w:tcW w:w="4343" w:type="dxa"/>
            <w:shd w:val="clear" w:color="auto" w:fill="auto"/>
          </w:tcPr>
          <w:p w14:paraId="00498192"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tcPr>
          <w:p w14:paraId="1EFC7FE7" w14:textId="77777777" w:rsidR="00C055DB" w:rsidRPr="00372083" w:rsidRDefault="00B60ADF" w:rsidP="00C055DB">
            <w:pPr>
              <w:ind w:left="-2230" w:firstLine="2230"/>
              <w:rPr>
                <w:b/>
                <w:sz w:val="18"/>
                <w:szCs w:val="18"/>
              </w:rPr>
            </w:pPr>
            <w:r w:rsidRPr="00372083">
              <w:rPr>
                <w:rFonts w:ascii="MS Mincho" w:eastAsia="MS Mincho" w:hAnsi="MS Mincho" w:cs="MS Mincho"/>
                <w:b/>
                <w:szCs w:val="20"/>
              </w:rPr>
              <w:t>☐</w:t>
            </w:r>
          </w:p>
        </w:tc>
        <w:tc>
          <w:tcPr>
            <w:tcW w:w="4747" w:type="dxa"/>
          </w:tcPr>
          <w:p w14:paraId="57C38DCB" w14:textId="77777777" w:rsidR="00C055DB" w:rsidRPr="00372083" w:rsidRDefault="00C055DB" w:rsidP="009E6B5D">
            <w:pPr>
              <w:rPr>
                <w:b/>
                <w:sz w:val="18"/>
                <w:szCs w:val="18"/>
              </w:rPr>
            </w:pPr>
          </w:p>
        </w:tc>
      </w:tr>
      <w:tr w:rsidR="00483E64" w14:paraId="4A26D83F" w14:textId="77777777" w:rsidTr="002A2BCE">
        <w:tc>
          <w:tcPr>
            <w:tcW w:w="3510" w:type="dxa"/>
            <w:vMerge/>
          </w:tcPr>
          <w:p w14:paraId="64FAA147" w14:textId="77777777" w:rsidR="00C055DB" w:rsidRDefault="00C055DB" w:rsidP="00C055DB">
            <w:pPr>
              <w:rPr>
                <w:rFonts w:cs="Minion Pro"/>
                <w:sz w:val="18"/>
                <w:szCs w:val="18"/>
              </w:rPr>
            </w:pPr>
          </w:p>
        </w:tc>
        <w:tc>
          <w:tcPr>
            <w:tcW w:w="4343" w:type="dxa"/>
            <w:shd w:val="clear" w:color="auto" w:fill="auto"/>
          </w:tcPr>
          <w:p w14:paraId="7E0A0951"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tcPr>
          <w:p w14:paraId="6214512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407B02CA" w14:textId="77777777" w:rsidR="00C055DB" w:rsidRPr="00372083" w:rsidRDefault="00C055DB" w:rsidP="00C055DB">
            <w:pPr>
              <w:rPr>
                <w:b/>
                <w:sz w:val="18"/>
                <w:szCs w:val="18"/>
              </w:rPr>
            </w:pPr>
          </w:p>
        </w:tc>
      </w:tr>
      <w:tr w:rsidR="00483E64" w14:paraId="00ABCCCF" w14:textId="77777777" w:rsidTr="002A2BCE">
        <w:tc>
          <w:tcPr>
            <w:tcW w:w="3510" w:type="dxa"/>
            <w:vMerge/>
          </w:tcPr>
          <w:p w14:paraId="4F42D30F" w14:textId="77777777" w:rsidR="00C055DB" w:rsidRDefault="00C055DB" w:rsidP="00C055DB">
            <w:pPr>
              <w:rPr>
                <w:rFonts w:cs="Minion Pro"/>
                <w:sz w:val="18"/>
                <w:szCs w:val="18"/>
              </w:rPr>
            </w:pPr>
          </w:p>
        </w:tc>
        <w:tc>
          <w:tcPr>
            <w:tcW w:w="4343" w:type="dxa"/>
            <w:shd w:val="clear" w:color="auto" w:fill="auto"/>
          </w:tcPr>
          <w:p w14:paraId="51A7CF0C"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tcPr>
          <w:p w14:paraId="2DBEEF14" w14:textId="77777777" w:rsidR="00C055DB" w:rsidRPr="00372083" w:rsidRDefault="00533D42" w:rsidP="00C055DB">
            <w:pPr>
              <w:ind w:left="-2230" w:firstLine="2230"/>
              <w:rPr>
                <w:b/>
                <w:sz w:val="18"/>
                <w:szCs w:val="18"/>
              </w:rPr>
            </w:pPr>
            <w:r>
              <w:rPr>
                <w:rFonts w:ascii="Segoe UI Symbol" w:hAnsi="Segoe UI Symbol" w:cs="Segoe UI Symbol"/>
                <w:b/>
                <w:szCs w:val="20"/>
              </w:rPr>
              <w:sym w:font="Wingdings 2" w:char="F052"/>
            </w:r>
          </w:p>
        </w:tc>
        <w:tc>
          <w:tcPr>
            <w:tcW w:w="4747" w:type="dxa"/>
          </w:tcPr>
          <w:p w14:paraId="10E6A570" w14:textId="77777777" w:rsidR="002175AB" w:rsidRPr="002541FB" w:rsidRDefault="002175AB" w:rsidP="002175AB">
            <w:pPr>
              <w:spacing w:after="160"/>
              <w:rPr>
                <w:rFonts w:eastAsia="Calibri"/>
                <w:szCs w:val="20"/>
                <w:lang w:val="en-GB"/>
              </w:rPr>
            </w:pPr>
            <w:r w:rsidRPr="002541FB">
              <w:rPr>
                <w:rFonts w:eastAsia="Calibri"/>
                <w:szCs w:val="20"/>
                <w:lang w:val="en-GB"/>
              </w:rPr>
              <w:t xml:space="preserve">A total of </w:t>
            </w:r>
            <w:r>
              <w:rPr>
                <w:rFonts w:eastAsia="Calibri"/>
                <w:szCs w:val="20"/>
                <w:lang w:val="en-GB"/>
              </w:rPr>
              <w:t>seven</w:t>
            </w:r>
            <w:r w:rsidRPr="002541FB">
              <w:rPr>
                <w:rFonts w:eastAsia="Calibri"/>
                <w:szCs w:val="20"/>
                <w:lang w:val="en-GB"/>
              </w:rPr>
              <w:t xml:space="preserve"> risks have been identified, of which</w:t>
            </w:r>
            <w:r w:rsidR="00296175">
              <w:rPr>
                <w:rFonts w:eastAsia="Calibri"/>
                <w:szCs w:val="20"/>
                <w:lang w:val="en-GB"/>
              </w:rPr>
              <w:t xml:space="preserve"> one has been assessed as high, four </w:t>
            </w:r>
            <w:r w:rsidRPr="002541FB">
              <w:rPr>
                <w:rFonts w:eastAsia="Calibri"/>
                <w:szCs w:val="20"/>
                <w:lang w:val="en-GB"/>
              </w:rPr>
              <w:t xml:space="preserve">moderate </w:t>
            </w:r>
            <w:r w:rsidR="00296175">
              <w:rPr>
                <w:rFonts w:eastAsia="Calibri"/>
                <w:szCs w:val="20"/>
                <w:lang w:val="en-GB"/>
              </w:rPr>
              <w:t xml:space="preserve">and two of low </w:t>
            </w:r>
            <w:r w:rsidRPr="002541FB">
              <w:rPr>
                <w:rFonts w:eastAsia="Calibri"/>
                <w:szCs w:val="20"/>
                <w:lang w:val="en-GB"/>
              </w:rPr>
              <w:t>significance. The following safeguards are triggered (</w:t>
            </w:r>
            <w:r w:rsidR="00296175">
              <w:rPr>
                <w:rFonts w:eastAsia="Calibri"/>
                <w:szCs w:val="20"/>
                <w:lang w:val="en-GB"/>
              </w:rPr>
              <w:t>high</w:t>
            </w:r>
            <w:r w:rsidRPr="002541FB">
              <w:rPr>
                <w:rFonts w:eastAsia="Calibri"/>
                <w:szCs w:val="20"/>
                <w:lang w:val="en-GB"/>
              </w:rPr>
              <w:t xml:space="preserve"> risks): Principle 1: Human Rights</w:t>
            </w:r>
            <w:r w:rsidR="00296175">
              <w:rPr>
                <w:rFonts w:eastAsia="Calibri"/>
                <w:szCs w:val="20"/>
                <w:lang w:val="en-GB"/>
              </w:rPr>
              <w:t xml:space="preserve">, </w:t>
            </w:r>
            <w:r w:rsidRPr="002541FB">
              <w:rPr>
                <w:rFonts w:eastAsia="Calibri"/>
                <w:szCs w:val="20"/>
                <w:lang w:val="en-GB"/>
              </w:rPr>
              <w:t xml:space="preserve">Principle </w:t>
            </w:r>
            <w:r w:rsidR="00296175">
              <w:rPr>
                <w:rFonts w:eastAsia="Calibri"/>
                <w:szCs w:val="20"/>
                <w:lang w:val="en-GB"/>
              </w:rPr>
              <w:t xml:space="preserve">3, Standard 5 – Displacement and Resettlement; (Moderate risks): Principle 3, </w:t>
            </w:r>
            <w:r w:rsidRPr="002541FB">
              <w:rPr>
                <w:rFonts w:eastAsia="Calibri"/>
                <w:szCs w:val="20"/>
                <w:lang w:val="en-GB"/>
              </w:rPr>
              <w:t xml:space="preserve">Standard 1: </w:t>
            </w:r>
            <w:r w:rsidRPr="002541FB">
              <w:rPr>
                <w:szCs w:val="20"/>
              </w:rPr>
              <w:t xml:space="preserve">Biodiversity Conservation and Natural Resource Management; Standard 2: Climate Change Mitigation and Adaptation; </w:t>
            </w:r>
            <w:r w:rsidR="0032763D">
              <w:rPr>
                <w:szCs w:val="20"/>
              </w:rPr>
              <w:t xml:space="preserve">and </w:t>
            </w:r>
            <w:r w:rsidRPr="002541FB">
              <w:rPr>
                <w:szCs w:val="20"/>
              </w:rPr>
              <w:t xml:space="preserve">Standard 4: Cultural Heritage </w:t>
            </w:r>
          </w:p>
          <w:p w14:paraId="7B6584FD" w14:textId="77777777" w:rsidR="00C055DB" w:rsidRPr="0032763D" w:rsidRDefault="002175AB" w:rsidP="0032763D">
            <w:pPr>
              <w:spacing w:after="160"/>
              <w:rPr>
                <w:rFonts w:eastAsia="Calibri"/>
                <w:szCs w:val="20"/>
                <w:lang w:val="en-GB"/>
              </w:rPr>
            </w:pPr>
            <w:r w:rsidRPr="002541FB">
              <w:rPr>
                <w:rFonts w:eastAsia="Calibri"/>
                <w:szCs w:val="20"/>
                <w:lang w:val="en-GB"/>
              </w:rPr>
              <w:t xml:space="preserve">The overall project risk categorization is </w:t>
            </w:r>
            <w:r w:rsidR="0032763D">
              <w:rPr>
                <w:rFonts w:eastAsia="Calibri"/>
                <w:szCs w:val="20"/>
                <w:lang w:val="en-GB"/>
              </w:rPr>
              <w:t>‘High’</w:t>
            </w:r>
            <w:r w:rsidRPr="002541FB">
              <w:rPr>
                <w:rFonts w:eastAsia="Calibri"/>
                <w:szCs w:val="20"/>
                <w:lang w:val="en-GB"/>
              </w:rPr>
              <w:t xml:space="preserve">. </w:t>
            </w:r>
            <w:r w:rsidR="0032763D">
              <w:rPr>
                <w:rFonts w:eastAsia="Calibri"/>
                <w:szCs w:val="20"/>
                <w:lang w:val="en-GB"/>
              </w:rPr>
              <w:t xml:space="preserve">Accordingly, an ESMF has been prepared to specify the processes that will be undertaken for the additional assessment of potential impacts, identification and development of appropriate rick management measures. </w:t>
            </w:r>
          </w:p>
        </w:tc>
      </w:tr>
      <w:tr w:rsidR="00773AD2" w:rsidRPr="00EA5477" w14:paraId="63B7C559" w14:textId="77777777" w:rsidTr="002A2BCE">
        <w:trPr>
          <w:trHeight w:val="782"/>
        </w:trPr>
        <w:tc>
          <w:tcPr>
            <w:tcW w:w="3510" w:type="dxa"/>
            <w:vMerge w:val="restart"/>
            <w:shd w:val="clear" w:color="auto" w:fill="FFFFFF" w:themeFill="background1"/>
          </w:tcPr>
          <w:p w14:paraId="59DCCE14" w14:textId="77777777" w:rsidR="00773AD2" w:rsidRDefault="00773AD2" w:rsidP="00C055DB">
            <w:pPr>
              <w:ind w:hanging="18"/>
              <w:rPr>
                <w:b/>
                <w:szCs w:val="20"/>
              </w:rPr>
            </w:pPr>
          </w:p>
        </w:tc>
        <w:tc>
          <w:tcPr>
            <w:tcW w:w="4883" w:type="dxa"/>
            <w:gridSpan w:val="2"/>
            <w:shd w:val="clear" w:color="auto" w:fill="0F243E" w:themeFill="text2" w:themeFillShade="80"/>
            <w:vAlign w:val="center"/>
          </w:tcPr>
          <w:p w14:paraId="06DACDE8" w14:textId="77777777"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1319E6CB" w14:textId="77777777" w:rsidR="00773AD2" w:rsidRPr="00EA5477" w:rsidRDefault="00773AD2" w:rsidP="00C055DB">
            <w:pPr>
              <w:tabs>
                <w:tab w:val="left" w:pos="360"/>
              </w:tabs>
              <w:jc w:val="center"/>
              <w:rPr>
                <w:b/>
                <w:szCs w:val="20"/>
              </w:rPr>
            </w:pPr>
          </w:p>
        </w:tc>
      </w:tr>
      <w:tr w:rsidR="002248F9" w:rsidRPr="00EF0E8F" w14:paraId="61E98E0C" w14:textId="77777777" w:rsidTr="002A2BCE">
        <w:trPr>
          <w:trHeight w:val="296"/>
        </w:trPr>
        <w:tc>
          <w:tcPr>
            <w:tcW w:w="3510" w:type="dxa"/>
            <w:vMerge/>
            <w:shd w:val="clear" w:color="auto" w:fill="FFFFFF" w:themeFill="background1"/>
          </w:tcPr>
          <w:p w14:paraId="1C1ACBBD" w14:textId="77777777" w:rsidR="002248F9" w:rsidRPr="00372083" w:rsidRDefault="002248F9" w:rsidP="00C055DB">
            <w:pPr>
              <w:rPr>
                <w:sz w:val="18"/>
                <w:szCs w:val="18"/>
                <w:u w:val="single"/>
              </w:rPr>
            </w:pPr>
          </w:p>
        </w:tc>
        <w:tc>
          <w:tcPr>
            <w:tcW w:w="4883" w:type="dxa"/>
            <w:gridSpan w:val="2"/>
          </w:tcPr>
          <w:p w14:paraId="4B06D46C" w14:textId="77777777"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0100701"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03D46632" w14:textId="77777777" w:rsidTr="002A2BCE">
        <w:tc>
          <w:tcPr>
            <w:tcW w:w="3510" w:type="dxa"/>
            <w:vMerge/>
            <w:shd w:val="clear" w:color="auto" w:fill="FFFFFF" w:themeFill="background1"/>
          </w:tcPr>
          <w:p w14:paraId="57FB56A6" w14:textId="77777777" w:rsidR="00F536BB" w:rsidRDefault="00F536BB" w:rsidP="00C055DB">
            <w:pPr>
              <w:tabs>
                <w:tab w:val="left" w:pos="270"/>
              </w:tabs>
              <w:ind w:left="270" w:hanging="270"/>
              <w:rPr>
                <w:sz w:val="18"/>
                <w:szCs w:val="18"/>
              </w:rPr>
            </w:pPr>
          </w:p>
        </w:tc>
        <w:tc>
          <w:tcPr>
            <w:tcW w:w="4343" w:type="dxa"/>
            <w:shd w:val="clear" w:color="auto" w:fill="auto"/>
          </w:tcPr>
          <w:p w14:paraId="6037F48C"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vAlign w:val="center"/>
          </w:tcPr>
          <w:p w14:paraId="5DAD7B52" w14:textId="77777777" w:rsidR="00F536BB" w:rsidRPr="00EF0E8F" w:rsidRDefault="002C6E9E" w:rsidP="00C055DB">
            <w:pPr>
              <w:tabs>
                <w:tab w:val="left" w:pos="360"/>
              </w:tabs>
              <w:rPr>
                <w:sz w:val="18"/>
                <w:szCs w:val="18"/>
              </w:rPr>
            </w:pPr>
            <w:r>
              <w:rPr>
                <w:rFonts w:ascii="Segoe UI Symbol" w:hAnsi="Segoe UI Symbol" w:cs="Segoe UI Symbol"/>
                <w:b/>
                <w:szCs w:val="20"/>
              </w:rPr>
              <w:sym w:font="Wingdings 2" w:char="F052"/>
            </w:r>
          </w:p>
        </w:tc>
        <w:tc>
          <w:tcPr>
            <w:tcW w:w="4747" w:type="dxa"/>
          </w:tcPr>
          <w:p w14:paraId="6360D82C" w14:textId="77777777" w:rsidR="00F536BB" w:rsidRPr="00F97C5A" w:rsidRDefault="002C6E9E" w:rsidP="00C055DB">
            <w:pPr>
              <w:tabs>
                <w:tab w:val="left" w:pos="360"/>
              </w:tabs>
              <w:rPr>
                <w:sz w:val="18"/>
                <w:szCs w:val="18"/>
              </w:rPr>
            </w:pPr>
            <w:r w:rsidRPr="00F97C5A">
              <w:rPr>
                <w:sz w:val="18"/>
                <w:szCs w:val="18"/>
              </w:rPr>
              <w:t>Linked to the potential for physical resettlement and economic displacement under Standard 5</w:t>
            </w:r>
          </w:p>
          <w:p w14:paraId="1551F298" w14:textId="77777777" w:rsidR="002C6E9E" w:rsidRPr="00F97C5A" w:rsidRDefault="002C6E9E" w:rsidP="00C055DB">
            <w:pPr>
              <w:tabs>
                <w:tab w:val="left" w:pos="360"/>
              </w:tabs>
              <w:rPr>
                <w:sz w:val="18"/>
                <w:szCs w:val="18"/>
              </w:rPr>
            </w:pPr>
            <w:r w:rsidRPr="00F97C5A">
              <w:rPr>
                <w:sz w:val="18"/>
                <w:szCs w:val="18"/>
              </w:rPr>
              <w:t>SE Risk No. 6 High</w:t>
            </w:r>
          </w:p>
        </w:tc>
      </w:tr>
      <w:tr w:rsidR="00483E64" w:rsidRPr="00EF0E8F" w14:paraId="637D6096" w14:textId="77777777" w:rsidTr="002A2BCE">
        <w:tc>
          <w:tcPr>
            <w:tcW w:w="3510" w:type="dxa"/>
            <w:vMerge/>
            <w:shd w:val="clear" w:color="auto" w:fill="FFFFFF" w:themeFill="background1"/>
          </w:tcPr>
          <w:p w14:paraId="06614FC1" w14:textId="77777777" w:rsidR="00F536BB" w:rsidRDefault="00F536BB" w:rsidP="00C055DB">
            <w:pPr>
              <w:tabs>
                <w:tab w:val="left" w:pos="270"/>
              </w:tabs>
              <w:ind w:left="270" w:hanging="270"/>
              <w:rPr>
                <w:sz w:val="18"/>
                <w:szCs w:val="18"/>
              </w:rPr>
            </w:pPr>
          </w:p>
        </w:tc>
        <w:tc>
          <w:tcPr>
            <w:tcW w:w="4343" w:type="dxa"/>
            <w:shd w:val="clear" w:color="auto" w:fill="auto"/>
          </w:tcPr>
          <w:p w14:paraId="5E3D4C72"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vAlign w:val="center"/>
          </w:tcPr>
          <w:p w14:paraId="70AA8721" w14:textId="77777777" w:rsidR="00F536BB" w:rsidRPr="00EF0E8F" w:rsidRDefault="002C6E9E" w:rsidP="00C055DB">
            <w:pPr>
              <w:tabs>
                <w:tab w:val="left" w:pos="360"/>
              </w:tabs>
              <w:rPr>
                <w:sz w:val="18"/>
                <w:szCs w:val="18"/>
              </w:rPr>
            </w:pPr>
            <w:r>
              <w:rPr>
                <w:rFonts w:ascii="Segoe UI Symbol" w:hAnsi="Segoe UI Symbol" w:cs="Segoe UI Symbol"/>
                <w:b/>
                <w:szCs w:val="20"/>
              </w:rPr>
              <w:sym w:font="Wingdings 2" w:char="F052"/>
            </w:r>
          </w:p>
        </w:tc>
        <w:tc>
          <w:tcPr>
            <w:tcW w:w="4747" w:type="dxa"/>
          </w:tcPr>
          <w:p w14:paraId="590EF566" w14:textId="77777777" w:rsidR="00F536BB" w:rsidRPr="00F97C5A" w:rsidRDefault="00146B85" w:rsidP="00C055DB">
            <w:pPr>
              <w:tabs>
                <w:tab w:val="left" w:pos="360"/>
              </w:tabs>
              <w:rPr>
                <w:sz w:val="18"/>
                <w:szCs w:val="18"/>
              </w:rPr>
            </w:pPr>
            <w:r w:rsidRPr="00F97C5A">
              <w:rPr>
                <w:sz w:val="18"/>
                <w:szCs w:val="18"/>
              </w:rPr>
              <w:t>Linked to the possibility that the Project's considerable efforts under its Gender Action Plan to achieve equitable participation in decision making and action for women in all aspects of the Project might fall short of expectations</w:t>
            </w:r>
          </w:p>
          <w:p w14:paraId="2DE92000" w14:textId="77777777" w:rsidR="00146B85" w:rsidRPr="00F97C5A" w:rsidRDefault="00146B85" w:rsidP="00C055DB">
            <w:pPr>
              <w:tabs>
                <w:tab w:val="left" w:pos="360"/>
              </w:tabs>
              <w:rPr>
                <w:sz w:val="18"/>
                <w:szCs w:val="18"/>
              </w:rPr>
            </w:pPr>
            <w:r w:rsidRPr="00F97C5A">
              <w:rPr>
                <w:sz w:val="18"/>
                <w:szCs w:val="18"/>
              </w:rPr>
              <w:t xml:space="preserve">SE Risk No. 7 Low </w:t>
            </w:r>
          </w:p>
        </w:tc>
      </w:tr>
      <w:tr w:rsidR="00375910" w:rsidRPr="00EF0E8F" w14:paraId="368391BA" w14:textId="77777777" w:rsidTr="002A2BCE">
        <w:tc>
          <w:tcPr>
            <w:tcW w:w="3510" w:type="dxa"/>
            <w:vMerge/>
            <w:shd w:val="clear" w:color="auto" w:fill="FFFFFF" w:themeFill="background1"/>
          </w:tcPr>
          <w:p w14:paraId="5BEF4A5C" w14:textId="77777777" w:rsidR="00375910" w:rsidRDefault="00375910" w:rsidP="00C055DB">
            <w:pPr>
              <w:tabs>
                <w:tab w:val="left" w:pos="270"/>
              </w:tabs>
              <w:ind w:left="270" w:hanging="270"/>
              <w:rPr>
                <w:sz w:val="18"/>
                <w:szCs w:val="18"/>
              </w:rPr>
            </w:pPr>
          </w:p>
        </w:tc>
        <w:tc>
          <w:tcPr>
            <w:tcW w:w="4343" w:type="dxa"/>
            <w:shd w:val="clear" w:color="auto" w:fill="auto"/>
          </w:tcPr>
          <w:p w14:paraId="06048C88" w14:textId="77777777" w:rsidR="00375910" w:rsidRPr="00C055DB" w:rsidRDefault="00375910" w:rsidP="00375910">
            <w:pPr>
              <w:tabs>
                <w:tab w:val="left" w:pos="270"/>
              </w:tabs>
              <w:ind w:left="270" w:hanging="270"/>
              <w:rPr>
                <w:b/>
                <w:i/>
                <w:sz w:val="18"/>
                <w:szCs w:val="18"/>
              </w:rPr>
            </w:pPr>
            <w:r w:rsidRPr="00C055DB">
              <w:rPr>
                <w:b/>
                <w:i/>
                <w:sz w:val="18"/>
                <w:szCs w:val="18"/>
              </w:rPr>
              <w:t xml:space="preserve">Principle </w:t>
            </w:r>
            <w:r>
              <w:rPr>
                <w:b/>
                <w:i/>
                <w:sz w:val="18"/>
                <w:szCs w:val="18"/>
              </w:rPr>
              <w:t>3</w:t>
            </w:r>
            <w:r w:rsidRPr="00C055DB">
              <w:rPr>
                <w:b/>
                <w:i/>
                <w:sz w:val="18"/>
                <w:szCs w:val="18"/>
              </w:rPr>
              <w:t xml:space="preserve">: </w:t>
            </w:r>
            <w:r>
              <w:rPr>
                <w:b/>
                <w:i/>
                <w:sz w:val="18"/>
                <w:szCs w:val="18"/>
              </w:rPr>
              <w:t>Environmental Sustainability</w:t>
            </w:r>
          </w:p>
        </w:tc>
        <w:tc>
          <w:tcPr>
            <w:tcW w:w="540" w:type="dxa"/>
            <w:vAlign w:val="center"/>
          </w:tcPr>
          <w:p w14:paraId="77900077" w14:textId="77777777" w:rsidR="00375910" w:rsidRDefault="002C6E9E" w:rsidP="00C055DB">
            <w:pPr>
              <w:tabs>
                <w:tab w:val="left" w:pos="360"/>
              </w:tabs>
              <w:rPr>
                <w:rFonts w:ascii="Segoe UI Symbol" w:hAnsi="Segoe UI Symbol" w:cs="Segoe UI Symbol"/>
                <w:b/>
                <w:szCs w:val="20"/>
              </w:rPr>
            </w:pPr>
            <w:r>
              <w:rPr>
                <w:rFonts w:ascii="Segoe UI Symbol" w:hAnsi="Segoe UI Symbol" w:cs="Segoe UI Symbol"/>
                <w:b/>
                <w:szCs w:val="20"/>
              </w:rPr>
              <w:sym w:font="Wingdings 2" w:char="F052"/>
            </w:r>
          </w:p>
        </w:tc>
        <w:tc>
          <w:tcPr>
            <w:tcW w:w="4747" w:type="dxa"/>
          </w:tcPr>
          <w:p w14:paraId="6A6EC4DF" w14:textId="77777777" w:rsidR="00375910" w:rsidRPr="00F97C5A" w:rsidRDefault="00375910" w:rsidP="00C055DB">
            <w:pPr>
              <w:tabs>
                <w:tab w:val="left" w:pos="360"/>
              </w:tabs>
              <w:rPr>
                <w:sz w:val="18"/>
                <w:szCs w:val="18"/>
              </w:rPr>
            </w:pPr>
          </w:p>
        </w:tc>
      </w:tr>
      <w:tr w:rsidR="00483E64" w:rsidRPr="00EF0E8F" w14:paraId="74527904" w14:textId="77777777" w:rsidTr="00146B85">
        <w:trPr>
          <w:trHeight w:val="2672"/>
        </w:trPr>
        <w:tc>
          <w:tcPr>
            <w:tcW w:w="3510" w:type="dxa"/>
            <w:vMerge/>
            <w:shd w:val="clear" w:color="auto" w:fill="FFFFFF" w:themeFill="background1"/>
          </w:tcPr>
          <w:p w14:paraId="707A69EE" w14:textId="77777777" w:rsidR="00F536BB" w:rsidRDefault="00F536BB" w:rsidP="00C055DB">
            <w:pPr>
              <w:tabs>
                <w:tab w:val="left" w:pos="270"/>
              </w:tabs>
              <w:ind w:left="270" w:hanging="270"/>
              <w:rPr>
                <w:sz w:val="18"/>
                <w:szCs w:val="18"/>
              </w:rPr>
            </w:pPr>
          </w:p>
        </w:tc>
        <w:tc>
          <w:tcPr>
            <w:tcW w:w="4343" w:type="dxa"/>
            <w:shd w:val="clear" w:color="auto" w:fill="auto"/>
            <w:vAlign w:val="center"/>
          </w:tcPr>
          <w:p w14:paraId="233EB5BD" w14:textId="77777777" w:rsidR="00F536BB" w:rsidRPr="00C055DB" w:rsidRDefault="00F536BB" w:rsidP="00533D42">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vAlign w:val="center"/>
          </w:tcPr>
          <w:p w14:paraId="37CEEB41" w14:textId="77777777" w:rsidR="00F536BB" w:rsidRPr="00EF0E8F" w:rsidRDefault="00533D42" w:rsidP="00C055DB">
            <w:pPr>
              <w:tabs>
                <w:tab w:val="left" w:pos="360"/>
              </w:tabs>
              <w:rPr>
                <w:sz w:val="18"/>
                <w:szCs w:val="18"/>
              </w:rPr>
            </w:pPr>
            <w:r>
              <w:rPr>
                <w:rFonts w:ascii="Segoe UI Symbol" w:hAnsi="Segoe UI Symbol" w:cs="Segoe UI Symbol"/>
                <w:b/>
                <w:szCs w:val="20"/>
              </w:rPr>
              <w:sym w:font="Wingdings 2" w:char="F052"/>
            </w:r>
          </w:p>
        </w:tc>
        <w:tc>
          <w:tcPr>
            <w:tcW w:w="4747" w:type="dxa"/>
          </w:tcPr>
          <w:p w14:paraId="1823DD0E" w14:textId="77777777" w:rsidR="00F536BB" w:rsidRPr="00F97C5A" w:rsidRDefault="001A7B06" w:rsidP="00C055DB">
            <w:pPr>
              <w:tabs>
                <w:tab w:val="left" w:pos="360"/>
              </w:tabs>
              <w:rPr>
                <w:sz w:val="18"/>
                <w:szCs w:val="18"/>
              </w:rPr>
            </w:pPr>
            <w:r w:rsidRPr="00F97C5A">
              <w:rPr>
                <w:sz w:val="18"/>
                <w:szCs w:val="18"/>
              </w:rPr>
              <w:t xml:space="preserve">The project will apply the precautionary approach to any interventions in natural resource management.  Actual and potential impacts on natural resources, biodiversity and ecosystem services will be identified and addressed, employing qualified professionals to conduct assessments and to design and implement mitigation and monitoring plans. </w:t>
            </w:r>
            <w:r w:rsidR="00375910" w:rsidRPr="00F97C5A">
              <w:rPr>
                <w:sz w:val="18"/>
                <w:szCs w:val="18"/>
              </w:rPr>
              <w:t xml:space="preserve"> The project will be wary of making livelihood-focused interventions too near to protected areas or critical habitats, partly to reduce risk from the intervention and partly to discourage influx of others to build on the success of early initiatives. </w:t>
            </w:r>
          </w:p>
          <w:p w14:paraId="32E41DA8" w14:textId="77777777" w:rsidR="002C6E9E" w:rsidRPr="00F97C5A" w:rsidRDefault="002C6E9E" w:rsidP="00C055DB">
            <w:pPr>
              <w:tabs>
                <w:tab w:val="left" w:pos="360"/>
              </w:tabs>
              <w:rPr>
                <w:sz w:val="18"/>
                <w:szCs w:val="18"/>
              </w:rPr>
            </w:pPr>
            <w:r w:rsidRPr="00F97C5A">
              <w:rPr>
                <w:sz w:val="18"/>
                <w:szCs w:val="18"/>
              </w:rPr>
              <w:t xml:space="preserve">SE </w:t>
            </w:r>
            <w:proofErr w:type="spellStart"/>
            <w:r w:rsidRPr="00F97C5A">
              <w:rPr>
                <w:sz w:val="18"/>
                <w:szCs w:val="18"/>
              </w:rPr>
              <w:t>RIsk</w:t>
            </w:r>
            <w:proofErr w:type="spellEnd"/>
            <w:r w:rsidRPr="00F97C5A">
              <w:rPr>
                <w:sz w:val="18"/>
                <w:szCs w:val="18"/>
              </w:rPr>
              <w:t xml:space="preserve"> Nos 1,3,4 (Medium) and Risk No. 2 (Low)</w:t>
            </w:r>
          </w:p>
        </w:tc>
      </w:tr>
      <w:tr w:rsidR="00483E64" w:rsidRPr="00EF0E8F" w14:paraId="728B2D48" w14:textId="77777777" w:rsidTr="002A2BCE">
        <w:tc>
          <w:tcPr>
            <w:tcW w:w="3510" w:type="dxa"/>
            <w:vMerge/>
            <w:shd w:val="clear" w:color="auto" w:fill="FFFFFF" w:themeFill="background1"/>
          </w:tcPr>
          <w:p w14:paraId="1AF97721" w14:textId="77777777" w:rsidR="00F536BB" w:rsidRDefault="00F536BB" w:rsidP="00C055DB">
            <w:pPr>
              <w:tabs>
                <w:tab w:val="left" w:pos="270"/>
              </w:tabs>
              <w:ind w:left="270" w:hanging="270"/>
              <w:rPr>
                <w:sz w:val="18"/>
                <w:szCs w:val="18"/>
              </w:rPr>
            </w:pPr>
          </w:p>
        </w:tc>
        <w:tc>
          <w:tcPr>
            <w:tcW w:w="4343" w:type="dxa"/>
            <w:shd w:val="clear" w:color="auto" w:fill="auto"/>
          </w:tcPr>
          <w:p w14:paraId="6F5BFD62"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vAlign w:val="center"/>
          </w:tcPr>
          <w:p w14:paraId="371494FC" w14:textId="77777777" w:rsidR="00F536BB" w:rsidRPr="00EF0E8F" w:rsidRDefault="002C6E9E" w:rsidP="00C055DB">
            <w:pPr>
              <w:tabs>
                <w:tab w:val="left" w:pos="360"/>
              </w:tabs>
              <w:rPr>
                <w:sz w:val="18"/>
                <w:szCs w:val="18"/>
              </w:rPr>
            </w:pPr>
            <w:r>
              <w:rPr>
                <w:rFonts w:ascii="Segoe UI Symbol" w:hAnsi="Segoe UI Symbol" w:cs="Segoe UI Symbol"/>
                <w:b/>
                <w:szCs w:val="20"/>
              </w:rPr>
              <w:sym w:font="Wingdings 2" w:char="F052"/>
            </w:r>
          </w:p>
        </w:tc>
        <w:tc>
          <w:tcPr>
            <w:tcW w:w="4747" w:type="dxa"/>
          </w:tcPr>
          <w:p w14:paraId="2BA44F1B" w14:textId="77777777" w:rsidR="00146B85" w:rsidRPr="00F97C5A" w:rsidRDefault="00146B85" w:rsidP="00146B85">
            <w:pPr>
              <w:tabs>
                <w:tab w:val="left" w:pos="360"/>
              </w:tabs>
              <w:rPr>
                <w:sz w:val="18"/>
                <w:szCs w:val="18"/>
              </w:rPr>
            </w:pPr>
            <w:r w:rsidRPr="00F97C5A">
              <w:rPr>
                <w:sz w:val="18"/>
                <w:szCs w:val="18"/>
              </w:rPr>
              <w:t xml:space="preserve">Although climate change will be taken into account in the conservation designs and land-use plans produced and partially implemented under the project, there is still a possibility for frustration of intermediate project aims as a result of unpredicted weather events.  </w:t>
            </w:r>
          </w:p>
          <w:p w14:paraId="597B8431" w14:textId="77777777" w:rsidR="00F536BB" w:rsidRPr="00F97C5A" w:rsidRDefault="00146B85" w:rsidP="00146B85">
            <w:pPr>
              <w:tabs>
                <w:tab w:val="left" w:pos="360"/>
              </w:tabs>
              <w:rPr>
                <w:sz w:val="18"/>
                <w:szCs w:val="18"/>
              </w:rPr>
            </w:pPr>
            <w:r w:rsidRPr="00F97C5A">
              <w:rPr>
                <w:sz w:val="18"/>
                <w:szCs w:val="18"/>
              </w:rPr>
              <w:t>SE Risk Nos 1,3,4 (Medium)</w:t>
            </w:r>
            <w:r w:rsidRPr="00F97C5A">
              <w:rPr>
                <w:rFonts w:ascii="Arial" w:hAnsi="Arial" w:cs="Arial"/>
                <w:sz w:val="18"/>
                <w:szCs w:val="18"/>
              </w:rPr>
              <w:t xml:space="preserve"> </w:t>
            </w:r>
          </w:p>
        </w:tc>
      </w:tr>
      <w:tr w:rsidR="00483E64" w:rsidRPr="00EF0E8F" w14:paraId="2A08E64B" w14:textId="77777777" w:rsidTr="002A2BCE">
        <w:tc>
          <w:tcPr>
            <w:tcW w:w="3510" w:type="dxa"/>
            <w:vMerge/>
            <w:shd w:val="clear" w:color="auto" w:fill="FFFFFF" w:themeFill="background1"/>
          </w:tcPr>
          <w:p w14:paraId="6055090F" w14:textId="77777777" w:rsidR="00F536BB" w:rsidRDefault="00F536BB" w:rsidP="00C055DB">
            <w:pPr>
              <w:tabs>
                <w:tab w:val="left" w:pos="270"/>
              </w:tabs>
              <w:ind w:left="270" w:hanging="270"/>
              <w:rPr>
                <w:sz w:val="18"/>
                <w:szCs w:val="18"/>
              </w:rPr>
            </w:pPr>
          </w:p>
        </w:tc>
        <w:tc>
          <w:tcPr>
            <w:tcW w:w="4343" w:type="dxa"/>
            <w:shd w:val="clear" w:color="auto" w:fill="auto"/>
          </w:tcPr>
          <w:p w14:paraId="39495F7D"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vAlign w:val="center"/>
          </w:tcPr>
          <w:p w14:paraId="4EE10C7C"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AA8D53A" w14:textId="77777777" w:rsidR="00F536BB" w:rsidRPr="00F97C5A" w:rsidRDefault="00F536BB" w:rsidP="00C055DB">
            <w:pPr>
              <w:tabs>
                <w:tab w:val="left" w:pos="360"/>
              </w:tabs>
              <w:rPr>
                <w:sz w:val="18"/>
                <w:szCs w:val="18"/>
              </w:rPr>
            </w:pPr>
          </w:p>
        </w:tc>
      </w:tr>
      <w:tr w:rsidR="00483E64" w:rsidRPr="00EF0E8F" w14:paraId="2045DDBB" w14:textId="77777777" w:rsidTr="00533D42">
        <w:tc>
          <w:tcPr>
            <w:tcW w:w="3510" w:type="dxa"/>
            <w:vMerge/>
            <w:shd w:val="clear" w:color="auto" w:fill="FFFFFF" w:themeFill="background1"/>
          </w:tcPr>
          <w:p w14:paraId="32778504" w14:textId="77777777" w:rsidR="00F536BB" w:rsidRDefault="00F536BB" w:rsidP="00C055DB">
            <w:pPr>
              <w:tabs>
                <w:tab w:val="left" w:pos="270"/>
              </w:tabs>
              <w:ind w:left="270" w:hanging="270"/>
              <w:rPr>
                <w:sz w:val="18"/>
                <w:szCs w:val="18"/>
              </w:rPr>
            </w:pPr>
          </w:p>
        </w:tc>
        <w:tc>
          <w:tcPr>
            <w:tcW w:w="4343" w:type="dxa"/>
            <w:shd w:val="clear" w:color="auto" w:fill="auto"/>
            <w:vAlign w:val="center"/>
          </w:tcPr>
          <w:p w14:paraId="2E36C604" w14:textId="77777777" w:rsidR="00F536BB" w:rsidRPr="00C055DB" w:rsidRDefault="00F536BB" w:rsidP="00533D42">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vAlign w:val="center"/>
          </w:tcPr>
          <w:p w14:paraId="06575FF3" w14:textId="77777777" w:rsidR="00F536BB" w:rsidRPr="00EF0E8F" w:rsidRDefault="00533D42" w:rsidP="00C055DB">
            <w:pPr>
              <w:tabs>
                <w:tab w:val="left" w:pos="360"/>
              </w:tabs>
              <w:rPr>
                <w:sz w:val="18"/>
                <w:szCs w:val="18"/>
              </w:rPr>
            </w:pPr>
            <w:r>
              <w:rPr>
                <w:rFonts w:ascii="Segoe UI Symbol" w:hAnsi="Segoe UI Symbol" w:cs="Segoe UI Symbol"/>
                <w:b/>
                <w:szCs w:val="20"/>
              </w:rPr>
              <w:sym w:font="Wingdings 2" w:char="F052"/>
            </w:r>
          </w:p>
        </w:tc>
        <w:tc>
          <w:tcPr>
            <w:tcW w:w="4747" w:type="dxa"/>
            <w:vAlign w:val="center"/>
          </w:tcPr>
          <w:p w14:paraId="61088E3E" w14:textId="77777777" w:rsidR="00F536BB" w:rsidRPr="00F97C5A" w:rsidRDefault="00256504" w:rsidP="000C503D">
            <w:pPr>
              <w:tabs>
                <w:tab w:val="left" w:pos="360"/>
              </w:tabs>
              <w:rPr>
                <w:sz w:val="18"/>
                <w:szCs w:val="18"/>
              </w:rPr>
            </w:pPr>
            <w:r w:rsidRPr="00F97C5A">
              <w:rPr>
                <w:sz w:val="18"/>
                <w:szCs w:val="18"/>
              </w:rPr>
              <w:t xml:space="preserve">According to some local community members the social fabric of communities, and some cultural relics such as the Doric Fort at </w:t>
            </w:r>
            <w:proofErr w:type="spellStart"/>
            <w:r w:rsidRPr="00F97C5A">
              <w:rPr>
                <w:sz w:val="18"/>
                <w:szCs w:val="18"/>
              </w:rPr>
              <w:t>Arippu</w:t>
            </w:r>
            <w:proofErr w:type="spellEnd"/>
            <w:r w:rsidRPr="00F97C5A">
              <w:rPr>
                <w:sz w:val="18"/>
                <w:szCs w:val="18"/>
              </w:rPr>
              <w:t xml:space="preserve"> are likely to come under threat from tourism.  </w:t>
            </w:r>
            <w:r w:rsidR="006B0CF8" w:rsidRPr="00F97C5A">
              <w:rPr>
                <w:sz w:val="18"/>
                <w:szCs w:val="18"/>
              </w:rPr>
              <w:t xml:space="preserve"> So there are two aspects here: the intangible forms of culture such as practices, representations, expressions, knowledge and skills</w:t>
            </w:r>
            <w:r w:rsidR="006B0CF8" w:rsidRPr="00F97C5A">
              <w:rPr>
                <w:sz w:val="18"/>
                <w:szCs w:val="18"/>
                <w:vertAlign w:val="superscript"/>
              </w:rPr>
              <w:fldChar w:fldCharType="begin"/>
            </w:r>
            <w:r w:rsidR="006B0CF8" w:rsidRPr="00F97C5A">
              <w:rPr>
                <w:sz w:val="18"/>
                <w:szCs w:val="18"/>
                <w:vertAlign w:val="superscript"/>
              </w:rPr>
              <w:instrText xml:space="preserve"> NOTEREF _Ref533952342 \h </w:instrText>
            </w:r>
            <w:r w:rsidR="00533D42" w:rsidRPr="00F97C5A">
              <w:rPr>
                <w:sz w:val="18"/>
                <w:szCs w:val="18"/>
                <w:vertAlign w:val="superscript"/>
              </w:rPr>
              <w:instrText xml:space="preserve"> \* MERGEFORMAT </w:instrText>
            </w:r>
            <w:r w:rsidR="006B0CF8" w:rsidRPr="00F97C5A">
              <w:rPr>
                <w:sz w:val="18"/>
                <w:szCs w:val="18"/>
                <w:vertAlign w:val="superscript"/>
              </w:rPr>
            </w:r>
            <w:r w:rsidR="006B0CF8" w:rsidRPr="00F97C5A">
              <w:rPr>
                <w:sz w:val="18"/>
                <w:szCs w:val="18"/>
                <w:vertAlign w:val="superscript"/>
              </w:rPr>
              <w:fldChar w:fldCharType="separate"/>
            </w:r>
            <w:r w:rsidR="006B0CF8" w:rsidRPr="00F97C5A">
              <w:rPr>
                <w:sz w:val="18"/>
                <w:szCs w:val="18"/>
                <w:vertAlign w:val="superscript"/>
              </w:rPr>
              <w:t>3</w:t>
            </w:r>
            <w:r w:rsidR="006B0CF8" w:rsidRPr="00F97C5A">
              <w:rPr>
                <w:sz w:val="18"/>
                <w:szCs w:val="18"/>
                <w:vertAlign w:val="superscript"/>
              </w:rPr>
              <w:fldChar w:fldCharType="end"/>
            </w:r>
            <w:r w:rsidR="006B0CF8" w:rsidRPr="00F97C5A">
              <w:rPr>
                <w:sz w:val="18"/>
                <w:szCs w:val="18"/>
                <w:vertAlign w:val="superscript"/>
              </w:rPr>
              <w:t xml:space="preserve"> </w:t>
            </w:r>
            <w:r w:rsidR="006B0CF8" w:rsidRPr="00F97C5A">
              <w:rPr>
                <w:sz w:val="18"/>
                <w:szCs w:val="18"/>
              </w:rPr>
              <w:t>, and the tangible forms such as immovable objects, buildings and archaeological sites</w:t>
            </w:r>
            <w:r w:rsidR="006B0CF8" w:rsidRPr="00F97C5A">
              <w:rPr>
                <w:sz w:val="18"/>
                <w:szCs w:val="18"/>
                <w:vertAlign w:val="superscript"/>
              </w:rPr>
              <w:fldChar w:fldCharType="begin"/>
            </w:r>
            <w:r w:rsidR="006B0CF8" w:rsidRPr="00F97C5A">
              <w:rPr>
                <w:sz w:val="18"/>
                <w:szCs w:val="18"/>
                <w:vertAlign w:val="superscript"/>
              </w:rPr>
              <w:instrText xml:space="preserve"> NOTEREF _Ref533952342 \h </w:instrText>
            </w:r>
            <w:r w:rsidR="00533D42" w:rsidRPr="00F97C5A">
              <w:rPr>
                <w:sz w:val="18"/>
                <w:szCs w:val="18"/>
                <w:vertAlign w:val="superscript"/>
              </w:rPr>
              <w:instrText xml:space="preserve"> \* MERGEFORMAT </w:instrText>
            </w:r>
            <w:r w:rsidR="006B0CF8" w:rsidRPr="00F97C5A">
              <w:rPr>
                <w:sz w:val="18"/>
                <w:szCs w:val="18"/>
                <w:vertAlign w:val="superscript"/>
              </w:rPr>
            </w:r>
            <w:r w:rsidR="006B0CF8" w:rsidRPr="00F97C5A">
              <w:rPr>
                <w:sz w:val="18"/>
                <w:szCs w:val="18"/>
                <w:vertAlign w:val="superscript"/>
              </w:rPr>
              <w:fldChar w:fldCharType="separate"/>
            </w:r>
            <w:r w:rsidR="006B0CF8" w:rsidRPr="00F97C5A">
              <w:rPr>
                <w:sz w:val="18"/>
                <w:szCs w:val="18"/>
                <w:vertAlign w:val="superscript"/>
              </w:rPr>
              <w:t>3</w:t>
            </w:r>
            <w:r w:rsidR="006B0CF8" w:rsidRPr="00F97C5A">
              <w:rPr>
                <w:sz w:val="18"/>
                <w:szCs w:val="18"/>
                <w:vertAlign w:val="superscript"/>
              </w:rPr>
              <w:fldChar w:fldCharType="end"/>
            </w:r>
            <w:r w:rsidR="006B0CF8" w:rsidRPr="00F97C5A">
              <w:rPr>
                <w:sz w:val="18"/>
                <w:szCs w:val="18"/>
              </w:rPr>
              <w:t xml:space="preserve">.  The project will take all necessary measures to avoid significant adverse impacts, selecting </w:t>
            </w:r>
            <w:r w:rsidR="006B0CF8" w:rsidRPr="00AD424B">
              <w:rPr>
                <w:sz w:val="18"/>
                <w:szCs w:val="18"/>
              </w:rPr>
              <w:t xml:space="preserve">private sector partners in tourism with this requirement in mind. </w:t>
            </w:r>
            <w:r w:rsidR="000C503D" w:rsidRPr="00AD424B">
              <w:rPr>
                <w:rFonts w:cs="Arial"/>
                <w:sz w:val="18"/>
                <w:szCs w:val="18"/>
              </w:rPr>
              <w:t>The Project will anticipate the need for a Cultural Heritage Management Plan as an outcome of the ESIA and ESMP development.</w:t>
            </w:r>
            <w:r w:rsidR="000C503D" w:rsidRPr="003B7540">
              <w:rPr>
                <w:rFonts w:cs="Arial"/>
                <w:sz w:val="18"/>
                <w:szCs w:val="18"/>
              </w:rPr>
              <w:t xml:space="preserve">  </w:t>
            </w:r>
          </w:p>
        </w:tc>
      </w:tr>
      <w:tr w:rsidR="00483E64" w:rsidRPr="00EF0E8F" w14:paraId="56A3F42D" w14:textId="77777777" w:rsidTr="002A2BCE">
        <w:tc>
          <w:tcPr>
            <w:tcW w:w="3510" w:type="dxa"/>
            <w:vMerge/>
            <w:shd w:val="clear" w:color="auto" w:fill="FFFFFF" w:themeFill="background1"/>
          </w:tcPr>
          <w:p w14:paraId="3358166B" w14:textId="77777777" w:rsidR="00F536BB" w:rsidRDefault="00F536BB" w:rsidP="00C055DB">
            <w:pPr>
              <w:tabs>
                <w:tab w:val="left" w:pos="270"/>
              </w:tabs>
              <w:ind w:left="270" w:hanging="270"/>
              <w:rPr>
                <w:sz w:val="18"/>
                <w:szCs w:val="18"/>
              </w:rPr>
            </w:pPr>
          </w:p>
        </w:tc>
        <w:tc>
          <w:tcPr>
            <w:tcW w:w="4343" w:type="dxa"/>
            <w:shd w:val="clear" w:color="auto" w:fill="auto"/>
          </w:tcPr>
          <w:p w14:paraId="5560C549"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vAlign w:val="center"/>
          </w:tcPr>
          <w:p w14:paraId="7C7D671E" w14:textId="77777777" w:rsidR="00F536BB" w:rsidRPr="00EF0E8F" w:rsidRDefault="00533D42" w:rsidP="00C055DB">
            <w:pPr>
              <w:tabs>
                <w:tab w:val="left" w:pos="360"/>
              </w:tabs>
              <w:rPr>
                <w:sz w:val="18"/>
                <w:szCs w:val="18"/>
              </w:rPr>
            </w:pPr>
            <w:r>
              <w:rPr>
                <w:rFonts w:ascii="Segoe UI Symbol" w:hAnsi="Segoe UI Symbol" w:cs="Segoe UI Symbol"/>
                <w:b/>
                <w:szCs w:val="20"/>
              </w:rPr>
              <w:sym w:font="Wingdings 2" w:char="F052"/>
            </w:r>
          </w:p>
        </w:tc>
        <w:tc>
          <w:tcPr>
            <w:tcW w:w="4747" w:type="dxa"/>
          </w:tcPr>
          <w:p w14:paraId="71E9F5C9" w14:textId="77777777" w:rsidR="00F536BB" w:rsidRDefault="00256504" w:rsidP="006E2430">
            <w:pPr>
              <w:tabs>
                <w:tab w:val="left" w:pos="360"/>
              </w:tabs>
              <w:rPr>
                <w:sz w:val="18"/>
                <w:szCs w:val="18"/>
              </w:rPr>
            </w:pPr>
            <w:r w:rsidRPr="00F97C5A">
              <w:rPr>
                <w:sz w:val="18"/>
                <w:szCs w:val="18"/>
              </w:rPr>
              <w:t xml:space="preserve">Unlikely to take place under the project but impact is potentially high so full ESIA will be commissioned </w:t>
            </w:r>
            <w:proofErr w:type="gramStart"/>
            <w:r w:rsidRPr="00F97C5A">
              <w:rPr>
                <w:sz w:val="18"/>
                <w:szCs w:val="18"/>
              </w:rPr>
              <w:t>if and when</w:t>
            </w:r>
            <w:proofErr w:type="gramEnd"/>
            <w:r w:rsidRPr="00F97C5A">
              <w:rPr>
                <w:sz w:val="18"/>
                <w:szCs w:val="18"/>
              </w:rPr>
              <w:t xml:space="preserve"> displacement and or resettlement is proposed as a means of facilitating use of the landscape by both humans and elephants and other wild species.   </w:t>
            </w:r>
            <w:r w:rsidR="006E2430" w:rsidRPr="00F97C5A">
              <w:rPr>
                <w:sz w:val="18"/>
                <w:szCs w:val="18"/>
              </w:rPr>
              <w:t>Every effort will be made to avoid resettlement of people and if firm proposals are made, the project will assist government to assess impacts through a survey of potential PAPs, publish justification for the resettlement plan well in advance, and continue to monitor social and environmental impacts after resettlement at sites of both destination and origin.</w:t>
            </w:r>
            <w:r w:rsidR="006E2430">
              <w:rPr>
                <w:sz w:val="18"/>
                <w:szCs w:val="18"/>
              </w:rPr>
              <w:t xml:space="preserve">   </w:t>
            </w:r>
          </w:p>
          <w:p w14:paraId="37872505" w14:textId="77777777" w:rsidR="00146B85" w:rsidRPr="00EF0E8F" w:rsidRDefault="00146B85" w:rsidP="006E2430">
            <w:pPr>
              <w:tabs>
                <w:tab w:val="left" w:pos="360"/>
              </w:tabs>
              <w:rPr>
                <w:sz w:val="18"/>
                <w:szCs w:val="18"/>
              </w:rPr>
            </w:pPr>
            <w:r>
              <w:rPr>
                <w:sz w:val="18"/>
                <w:szCs w:val="18"/>
              </w:rPr>
              <w:t xml:space="preserve">SE </w:t>
            </w:r>
            <w:proofErr w:type="spellStart"/>
            <w:r>
              <w:rPr>
                <w:sz w:val="18"/>
                <w:szCs w:val="18"/>
              </w:rPr>
              <w:t>RIsk</w:t>
            </w:r>
            <w:proofErr w:type="spellEnd"/>
            <w:r>
              <w:rPr>
                <w:sz w:val="18"/>
                <w:szCs w:val="18"/>
              </w:rPr>
              <w:t xml:space="preserve"> No 6 (High)</w:t>
            </w:r>
          </w:p>
        </w:tc>
      </w:tr>
      <w:tr w:rsidR="00483E64" w:rsidRPr="00EF0E8F" w14:paraId="07B01472" w14:textId="77777777" w:rsidTr="002A2BCE">
        <w:tc>
          <w:tcPr>
            <w:tcW w:w="3510" w:type="dxa"/>
            <w:vMerge/>
            <w:shd w:val="clear" w:color="auto" w:fill="FFFFFF" w:themeFill="background1"/>
          </w:tcPr>
          <w:p w14:paraId="6ADB4780" w14:textId="77777777" w:rsidR="00F536BB" w:rsidRDefault="00F536BB" w:rsidP="00C055DB">
            <w:pPr>
              <w:tabs>
                <w:tab w:val="left" w:pos="270"/>
              </w:tabs>
              <w:ind w:left="270" w:hanging="270"/>
              <w:rPr>
                <w:sz w:val="18"/>
                <w:szCs w:val="18"/>
              </w:rPr>
            </w:pPr>
          </w:p>
        </w:tc>
        <w:tc>
          <w:tcPr>
            <w:tcW w:w="4343" w:type="dxa"/>
            <w:shd w:val="clear" w:color="auto" w:fill="auto"/>
          </w:tcPr>
          <w:p w14:paraId="7952DB94"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vAlign w:val="center"/>
          </w:tcPr>
          <w:p w14:paraId="7ABEB420"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111171B" w14:textId="77777777" w:rsidR="00F536BB" w:rsidRPr="00533D42" w:rsidRDefault="00F536BB" w:rsidP="00256504">
            <w:pPr>
              <w:widowControl w:val="0"/>
              <w:autoSpaceDE w:val="0"/>
              <w:autoSpaceDN w:val="0"/>
              <w:adjustRightInd w:val="0"/>
              <w:rPr>
                <w:rFonts w:ascii="Calibri" w:hAnsi="Calibri" w:cs="Arial"/>
                <w:sz w:val="18"/>
                <w:szCs w:val="18"/>
              </w:rPr>
            </w:pPr>
          </w:p>
        </w:tc>
      </w:tr>
      <w:tr w:rsidR="00483E64" w:rsidRPr="00EF0E8F" w14:paraId="60682B12" w14:textId="77777777" w:rsidTr="002A2BCE">
        <w:tc>
          <w:tcPr>
            <w:tcW w:w="3510" w:type="dxa"/>
            <w:vMerge/>
            <w:shd w:val="clear" w:color="auto" w:fill="FFFFFF" w:themeFill="background1"/>
          </w:tcPr>
          <w:p w14:paraId="090CFE49" w14:textId="77777777" w:rsidR="00F536BB" w:rsidRDefault="00F536BB" w:rsidP="00C055DB">
            <w:pPr>
              <w:tabs>
                <w:tab w:val="left" w:pos="270"/>
              </w:tabs>
              <w:ind w:left="270" w:hanging="270"/>
              <w:rPr>
                <w:sz w:val="18"/>
                <w:szCs w:val="18"/>
              </w:rPr>
            </w:pPr>
          </w:p>
        </w:tc>
        <w:tc>
          <w:tcPr>
            <w:tcW w:w="4343" w:type="dxa"/>
            <w:shd w:val="clear" w:color="auto" w:fill="auto"/>
          </w:tcPr>
          <w:p w14:paraId="5283DD38"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vAlign w:val="center"/>
          </w:tcPr>
          <w:p w14:paraId="27CA935C"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18402B2" w14:textId="77777777" w:rsidR="00F536BB" w:rsidRPr="00EF0E8F" w:rsidRDefault="00F536BB" w:rsidP="00C055DB">
            <w:pPr>
              <w:tabs>
                <w:tab w:val="left" w:pos="360"/>
              </w:tabs>
              <w:rPr>
                <w:sz w:val="18"/>
                <w:szCs w:val="18"/>
              </w:rPr>
            </w:pPr>
          </w:p>
        </w:tc>
      </w:tr>
    </w:tbl>
    <w:p w14:paraId="17494B86" w14:textId="77777777" w:rsidR="002419FE" w:rsidRDefault="002419FE" w:rsidP="00DD330A">
      <w:pPr>
        <w:tabs>
          <w:tab w:val="left" w:pos="360"/>
        </w:tabs>
        <w:rPr>
          <w:b/>
          <w:i/>
          <w:sz w:val="18"/>
          <w:szCs w:val="18"/>
        </w:rPr>
      </w:pPr>
    </w:p>
    <w:p w14:paraId="71E3226D" w14:textId="77777777" w:rsidR="00DD330A" w:rsidRDefault="00DD330A" w:rsidP="00DD330A">
      <w:pPr>
        <w:tabs>
          <w:tab w:val="left" w:pos="360"/>
        </w:tabs>
        <w:rPr>
          <w:sz w:val="18"/>
          <w:szCs w:val="18"/>
        </w:rPr>
      </w:pPr>
    </w:p>
    <w:p w14:paraId="485443A2"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63B368E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07DB8184" w14:textId="77777777" w:rsidTr="00C1348E">
        <w:tc>
          <w:tcPr>
            <w:tcW w:w="2875" w:type="dxa"/>
            <w:shd w:val="clear" w:color="auto" w:fill="C6D9F1" w:themeFill="text2" w:themeFillTint="33"/>
          </w:tcPr>
          <w:p w14:paraId="74CD4C72"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02FAB764"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675A221C"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rsidRPr="00A163BF" w14:paraId="4F76BAD1" w14:textId="77777777" w:rsidTr="00C1348E">
        <w:trPr>
          <w:trHeight w:val="629"/>
        </w:trPr>
        <w:tc>
          <w:tcPr>
            <w:tcW w:w="2875" w:type="dxa"/>
          </w:tcPr>
          <w:p w14:paraId="0B045A4E" w14:textId="77777777" w:rsidR="00F84586" w:rsidRPr="008E4C7E" w:rsidRDefault="00F84586" w:rsidP="00DD330A">
            <w:pPr>
              <w:tabs>
                <w:tab w:val="left" w:pos="360"/>
                <w:tab w:val="left" w:pos="4320"/>
              </w:tabs>
              <w:rPr>
                <w:szCs w:val="20"/>
              </w:rPr>
            </w:pPr>
            <w:r w:rsidRPr="008E4C7E">
              <w:rPr>
                <w:szCs w:val="20"/>
              </w:rPr>
              <w:t>QA Assessor</w:t>
            </w:r>
          </w:p>
        </w:tc>
        <w:tc>
          <w:tcPr>
            <w:tcW w:w="1350" w:type="dxa"/>
          </w:tcPr>
          <w:p w14:paraId="41092266" w14:textId="77777777" w:rsidR="00F84586" w:rsidRPr="008E4C7E" w:rsidRDefault="00F84586" w:rsidP="00DD330A">
            <w:pPr>
              <w:tabs>
                <w:tab w:val="left" w:pos="360"/>
                <w:tab w:val="left" w:pos="4320"/>
              </w:tabs>
              <w:rPr>
                <w:szCs w:val="20"/>
              </w:rPr>
            </w:pPr>
          </w:p>
        </w:tc>
        <w:tc>
          <w:tcPr>
            <w:tcW w:w="8725" w:type="dxa"/>
          </w:tcPr>
          <w:p w14:paraId="16798883" w14:textId="77777777" w:rsidR="00F84586" w:rsidRPr="00F97C5A" w:rsidRDefault="00F84586" w:rsidP="00BD03F6">
            <w:pPr>
              <w:pStyle w:val="SESPbodynumbered"/>
              <w:numPr>
                <w:ilvl w:val="0"/>
                <w:numId w:val="0"/>
              </w:numPr>
              <w:tabs>
                <w:tab w:val="clear" w:pos="360"/>
                <w:tab w:val="left" w:pos="720"/>
              </w:tabs>
              <w:spacing w:before="0" w:after="0"/>
              <w:rPr>
                <w:rFonts w:asciiTheme="majorHAnsi" w:hAnsiTheme="majorHAnsi" w:cstheme="majorHAnsi"/>
              </w:rPr>
            </w:pPr>
            <w:r w:rsidRPr="00F97C5A">
              <w:rPr>
                <w:rFonts w:asciiTheme="majorHAnsi" w:hAnsiTheme="majorHAnsi" w:cstheme="majorHAnsi"/>
              </w:rPr>
              <w:t>UNDP staff member responsible for the Project</w:t>
            </w:r>
            <w:r w:rsidRPr="00F97C5A">
              <w:rPr>
                <w:rFonts w:asciiTheme="majorHAnsi" w:hAnsiTheme="majorHAnsi" w:cstheme="majorHAnsi"/>
                <w:lang w:val="en-GB"/>
              </w:rPr>
              <w:t>, typically a UNDP Programme Officer. Final signature confirms they have “checked” to ensure that the SESP is adequately conducted.</w:t>
            </w:r>
          </w:p>
        </w:tc>
      </w:tr>
      <w:tr w:rsidR="00F84586" w:rsidRPr="00A163BF" w14:paraId="421D4382" w14:textId="77777777" w:rsidTr="00C1348E">
        <w:tc>
          <w:tcPr>
            <w:tcW w:w="2875" w:type="dxa"/>
          </w:tcPr>
          <w:p w14:paraId="18E9CABB" w14:textId="77777777" w:rsidR="00F84586" w:rsidRPr="008E4C7E" w:rsidRDefault="00F84586" w:rsidP="00DD330A">
            <w:pPr>
              <w:tabs>
                <w:tab w:val="left" w:pos="360"/>
                <w:tab w:val="left" w:pos="4320"/>
              </w:tabs>
              <w:rPr>
                <w:szCs w:val="20"/>
              </w:rPr>
            </w:pPr>
            <w:r w:rsidRPr="008E4C7E">
              <w:rPr>
                <w:szCs w:val="20"/>
              </w:rPr>
              <w:t>QA Approver</w:t>
            </w:r>
          </w:p>
        </w:tc>
        <w:tc>
          <w:tcPr>
            <w:tcW w:w="1350" w:type="dxa"/>
          </w:tcPr>
          <w:p w14:paraId="5C132380" w14:textId="77777777" w:rsidR="00F84586" w:rsidRPr="008E4C7E" w:rsidRDefault="00F84586" w:rsidP="00DD330A">
            <w:pPr>
              <w:tabs>
                <w:tab w:val="left" w:pos="360"/>
                <w:tab w:val="left" w:pos="4320"/>
              </w:tabs>
              <w:rPr>
                <w:szCs w:val="20"/>
              </w:rPr>
            </w:pPr>
          </w:p>
        </w:tc>
        <w:tc>
          <w:tcPr>
            <w:tcW w:w="8725" w:type="dxa"/>
          </w:tcPr>
          <w:p w14:paraId="6545CED9" w14:textId="77777777" w:rsidR="00F84586" w:rsidRPr="00F97C5A" w:rsidRDefault="00BD03F6" w:rsidP="00BD03F6">
            <w:pPr>
              <w:tabs>
                <w:tab w:val="left" w:pos="360"/>
                <w:tab w:val="left" w:pos="4320"/>
              </w:tabs>
              <w:rPr>
                <w:rFonts w:cstheme="majorHAnsi"/>
                <w:szCs w:val="20"/>
              </w:rPr>
            </w:pPr>
            <w:r w:rsidRPr="00F97C5A">
              <w:rPr>
                <w:rFonts w:cstheme="majorHAnsi"/>
                <w:szCs w:val="20"/>
                <w:lang w:val="en-GB"/>
              </w:rPr>
              <w:t>UNDP senior manager, typically the UNDP Deputy Country Director (DCD), Country Director (CD)</w:t>
            </w:r>
            <w:r w:rsidRPr="00F97C5A">
              <w:rPr>
                <w:rFonts w:cstheme="majorHAnsi"/>
                <w:b/>
                <w:szCs w:val="20"/>
              </w:rPr>
              <w:t xml:space="preserve">, </w:t>
            </w:r>
            <w:r w:rsidRPr="00F97C5A">
              <w:rPr>
                <w:rFonts w:cstheme="majorHAnsi"/>
                <w:szCs w:val="20"/>
              </w:rPr>
              <w:t>Deputy Resident Representative (DRR), or Resident Representative (RR). The QA Approver cannot also be the QA Assessor. Final signature confirms they have “cleared” the SESP prior to submittal to the PAC.</w:t>
            </w:r>
          </w:p>
        </w:tc>
      </w:tr>
      <w:tr w:rsidR="00F84586" w14:paraId="0646F60E" w14:textId="77777777" w:rsidTr="00C1348E">
        <w:tc>
          <w:tcPr>
            <w:tcW w:w="2875" w:type="dxa"/>
          </w:tcPr>
          <w:p w14:paraId="77B3A28C" w14:textId="77777777" w:rsidR="00F84586" w:rsidRPr="008E4C7E" w:rsidRDefault="00F84586" w:rsidP="00DD330A">
            <w:pPr>
              <w:tabs>
                <w:tab w:val="left" w:pos="360"/>
                <w:tab w:val="left" w:pos="4320"/>
              </w:tabs>
              <w:rPr>
                <w:szCs w:val="20"/>
              </w:rPr>
            </w:pPr>
            <w:r w:rsidRPr="008E4C7E">
              <w:rPr>
                <w:szCs w:val="20"/>
              </w:rPr>
              <w:t>PAC Chair</w:t>
            </w:r>
          </w:p>
        </w:tc>
        <w:tc>
          <w:tcPr>
            <w:tcW w:w="1350" w:type="dxa"/>
          </w:tcPr>
          <w:p w14:paraId="416FCA46" w14:textId="77777777" w:rsidR="00F84586" w:rsidRPr="008E4C7E" w:rsidRDefault="00F84586" w:rsidP="00DD330A">
            <w:pPr>
              <w:tabs>
                <w:tab w:val="left" w:pos="360"/>
                <w:tab w:val="left" w:pos="4320"/>
              </w:tabs>
              <w:rPr>
                <w:szCs w:val="20"/>
              </w:rPr>
            </w:pPr>
          </w:p>
        </w:tc>
        <w:tc>
          <w:tcPr>
            <w:tcW w:w="8725" w:type="dxa"/>
          </w:tcPr>
          <w:p w14:paraId="78AFAB2E" w14:textId="77777777" w:rsidR="00F84586" w:rsidRPr="00F97C5A" w:rsidRDefault="00BD03F6" w:rsidP="00BD03F6">
            <w:pPr>
              <w:tabs>
                <w:tab w:val="left" w:pos="360"/>
                <w:tab w:val="left" w:pos="4320"/>
              </w:tabs>
              <w:rPr>
                <w:rFonts w:cstheme="majorHAnsi"/>
                <w:szCs w:val="20"/>
              </w:rPr>
            </w:pPr>
            <w:r w:rsidRPr="00F97C5A">
              <w:rPr>
                <w:rFonts w:cstheme="majorHAnsi"/>
                <w:szCs w:val="20"/>
              </w:rPr>
              <w:t xml:space="preserve">UNDP chair of the PAC.  In some </w:t>
            </w:r>
            <w:proofErr w:type="gramStart"/>
            <w:r w:rsidRPr="00F97C5A">
              <w:rPr>
                <w:rFonts w:cstheme="majorHAnsi"/>
                <w:szCs w:val="20"/>
              </w:rPr>
              <w:t>cases</w:t>
            </w:r>
            <w:proofErr w:type="gramEnd"/>
            <w:r w:rsidRPr="00F97C5A">
              <w:rPr>
                <w:rFonts w:cstheme="majorHAnsi"/>
                <w:szCs w:val="20"/>
              </w:rPr>
              <w:t xml:space="preserve"> PAC Chair may also be the QA Approver. Final signature confirms that the SESP was considered as part of the project appraisal and considered in recommendations of the PAC. </w:t>
            </w:r>
          </w:p>
        </w:tc>
      </w:tr>
    </w:tbl>
    <w:p w14:paraId="6B5A31C1" w14:textId="77777777" w:rsidR="00ED54B8" w:rsidRDefault="00ED54B8" w:rsidP="003947BC">
      <w:pPr>
        <w:sectPr w:rsidR="00ED54B8" w:rsidSect="00DD330A">
          <w:footerReference w:type="even" r:id="rId12"/>
          <w:footerReference w:type="default" r:id="rId13"/>
          <w:endnotePr>
            <w:numFmt w:val="decimal"/>
          </w:endnotePr>
          <w:pgSz w:w="15840" w:h="12240" w:orient="landscape"/>
          <w:pgMar w:top="1440" w:right="1440" w:bottom="1440" w:left="1440" w:header="720" w:footer="720" w:gutter="0"/>
          <w:cols w:space="720"/>
          <w:titlePg/>
          <w:docGrid w:linePitch="360"/>
        </w:sectPr>
      </w:pPr>
    </w:p>
    <w:p w14:paraId="7E339B91" w14:textId="77777777" w:rsidR="008C4F51" w:rsidRPr="007B2FDA" w:rsidRDefault="00C859B5" w:rsidP="007E7A07">
      <w:pPr>
        <w:pStyle w:val="Heading3"/>
      </w:pPr>
      <w:bookmarkStart w:id="1" w:name="_Toc404528202"/>
      <w:r>
        <w:t xml:space="preserve">SESP </w:t>
      </w:r>
      <w:r w:rsidR="00490422">
        <w:t xml:space="preserve">Attachment 1. </w:t>
      </w:r>
      <w:r w:rsidR="008053C7" w:rsidRPr="003835FA">
        <w:t xml:space="preserve">Social and Environmental </w:t>
      </w:r>
      <w:r w:rsidR="00035F4F" w:rsidRPr="0084274F">
        <w:t>Risk Screening Checklist</w:t>
      </w:r>
      <w:bookmarkEnd w:id="1"/>
    </w:p>
    <w:p w14:paraId="1CE3FD98" w14:textId="77777777" w:rsidR="00C96C3D" w:rsidRDefault="00C96C3D" w:rsidP="000E4A7F"/>
    <w:p w14:paraId="718463B1"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7F61FDE4" w14:textId="77777777" w:rsidTr="00E603E0">
        <w:tc>
          <w:tcPr>
            <w:tcW w:w="8635" w:type="dxa"/>
            <w:tcBorders>
              <w:bottom w:val="single" w:sz="4" w:space="0" w:color="auto"/>
            </w:tcBorders>
            <w:shd w:val="clear" w:color="auto" w:fill="8DB3E2" w:themeFill="text2" w:themeFillTint="66"/>
          </w:tcPr>
          <w:p w14:paraId="7EF17555"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102F3DC9" w14:textId="77777777" w:rsidR="00F07AAC" w:rsidRPr="009D2BD0" w:rsidRDefault="00F07AAC" w:rsidP="00E336CC">
            <w:pPr>
              <w:tabs>
                <w:tab w:val="left" w:pos="810"/>
              </w:tabs>
              <w:rPr>
                <w:rFonts w:eastAsia="Times New Roman"/>
                <w:sz w:val="22"/>
                <w:szCs w:val="22"/>
              </w:rPr>
            </w:pPr>
          </w:p>
        </w:tc>
      </w:tr>
      <w:tr w:rsidR="00F07AAC" w:rsidRPr="002E0918" w14:paraId="06CF2364" w14:textId="77777777" w:rsidTr="00E603E0">
        <w:tc>
          <w:tcPr>
            <w:tcW w:w="8635" w:type="dxa"/>
            <w:tcBorders>
              <w:bottom w:val="single" w:sz="4" w:space="0" w:color="auto"/>
            </w:tcBorders>
            <w:shd w:val="clear" w:color="auto" w:fill="DBE5F1" w:themeFill="accent1" w:themeFillTint="33"/>
          </w:tcPr>
          <w:p w14:paraId="6D5604AB"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17FE033E"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08DCCB89" w14:textId="77777777" w:rsidTr="00E603E0">
        <w:tc>
          <w:tcPr>
            <w:tcW w:w="8635" w:type="dxa"/>
            <w:tcBorders>
              <w:bottom w:val="single" w:sz="4" w:space="0" w:color="auto"/>
            </w:tcBorders>
            <w:shd w:val="clear" w:color="auto" w:fill="auto"/>
          </w:tcPr>
          <w:p w14:paraId="538D59D7"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70BC74E1" w14:textId="77777777" w:rsidR="008F36AD" w:rsidRPr="002E0918" w:rsidRDefault="00F80FB6" w:rsidP="00D0789F">
            <w:pPr>
              <w:tabs>
                <w:tab w:val="left" w:pos="810"/>
              </w:tabs>
              <w:rPr>
                <w:sz w:val="18"/>
                <w:szCs w:val="18"/>
              </w:rPr>
            </w:pPr>
            <w:r>
              <w:rPr>
                <w:sz w:val="18"/>
                <w:szCs w:val="18"/>
              </w:rPr>
              <w:t>No</w:t>
            </w:r>
          </w:p>
        </w:tc>
      </w:tr>
      <w:tr w:rsidR="00F07AAC" w:rsidRPr="002E0918" w14:paraId="4FAC32E7" w14:textId="77777777" w:rsidTr="00E603E0">
        <w:tc>
          <w:tcPr>
            <w:tcW w:w="8635" w:type="dxa"/>
            <w:tcBorders>
              <w:bottom w:val="single" w:sz="4" w:space="0" w:color="auto"/>
            </w:tcBorders>
            <w:shd w:val="clear" w:color="auto" w:fill="auto"/>
          </w:tcPr>
          <w:p w14:paraId="1978FA8C"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5130940A" w14:textId="77777777" w:rsidR="00F07AAC" w:rsidRPr="002E0918" w:rsidRDefault="009E6B5D" w:rsidP="00D0789F">
            <w:pPr>
              <w:tabs>
                <w:tab w:val="left" w:pos="810"/>
              </w:tabs>
              <w:rPr>
                <w:sz w:val="18"/>
                <w:szCs w:val="18"/>
              </w:rPr>
            </w:pPr>
            <w:r>
              <w:rPr>
                <w:sz w:val="18"/>
                <w:szCs w:val="18"/>
              </w:rPr>
              <w:t>N</w:t>
            </w:r>
            <w:r w:rsidR="00B93790">
              <w:rPr>
                <w:sz w:val="18"/>
                <w:szCs w:val="18"/>
              </w:rPr>
              <w:t>o</w:t>
            </w:r>
          </w:p>
        </w:tc>
      </w:tr>
      <w:tr w:rsidR="00F07AAC" w:rsidRPr="002E0918" w14:paraId="018CF0F5" w14:textId="77777777" w:rsidTr="00E603E0">
        <w:tc>
          <w:tcPr>
            <w:tcW w:w="8635" w:type="dxa"/>
            <w:tcBorders>
              <w:bottom w:val="single" w:sz="4" w:space="0" w:color="auto"/>
            </w:tcBorders>
            <w:shd w:val="clear" w:color="auto" w:fill="auto"/>
          </w:tcPr>
          <w:p w14:paraId="1C2997A5"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02AB529D" w14:textId="77777777" w:rsidR="00F07AAC" w:rsidRPr="002E0918" w:rsidRDefault="003A114D" w:rsidP="00D0789F">
            <w:pPr>
              <w:tabs>
                <w:tab w:val="left" w:pos="810"/>
              </w:tabs>
              <w:rPr>
                <w:sz w:val="18"/>
                <w:szCs w:val="18"/>
              </w:rPr>
            </w:pPr>
            <w:r>
              <w:rPr>
                <w:sz w:val="18"/>
                <w:szCs w:val="18"/>
              </w:rPr>
              <w:t>Yes</w:t>
            </w:r>
          </w:p>
        </w:tc>
      </w:tr>
      <w:tr w:rsidR="00F07AAC" w:rsidRPr="002E0918" w14:paraId="0C12240C" w14:textId="77777777" w:rsidTr="00E603E0">
        <w:tc>
          <w:tcPr>
            <w:tcW w:w="8635" w:type="dxa"/>
            <w:tcBorders>
              <w:bottom w:val="single" w:sz="4" w:space="0" w:color="auto"/>
            </w:tcBorders>
            <w:shd w:val="clear" w:color="auto" w:fill="auto"/>
          </w:tcPr>
          <w:p w14:paraId="1704A905"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28D4F044" w14:textId="77777777" w:rsidR="00F07AAC" w:rsidRPr="002E0918" w:rsidRDefault="009E6B5D" w:rsidP="00D0789F">
            <w:pPr>
              <w:tabs>
                <w:tab w:val="left" w:pos="810"/>
              </w:tabs>
              <w:rPr>
                <w:sz w:val="18"/>
                <w:szCs w:val="18"/>
              </w:rPr>
            </w:pPr>
            <w:r>
              <w:rPr>
                <w:sz w:val="18"/>
                <w:szCs w:val="18"/>
              </w:rPr>
              <w:t>N</w:t>
            </w:r>
            <w:r w:rsidR="00B93790">
              <w:rPr>
                <w:sz w:val="18"/>
                <w:szCs w:val="18"/>
              </w:rPr>
              <w:t>o</w:t>
            </w:r>
          </w:p>
        </w:tc>
      </w:tr>
      <w:tr w:rsidR="00F07AAC" w:rsidRPr="002E0918" w14:paraId="322681E8" w14:textId="77777777" w:rsidTr="00E603E0">
        <w:tc>
          <w:tcPr>
            <w:tcW w:w="8635" w:type="dxa"/>
            <w:tcBorders>
              <w:bottom w:val="single" w:sz="4" w:space="0" w:color="auto"/>
            </w:tcBorders>
            <w:shd w:val="clear" w:color="auto" w:fill="auto"/>
          </w:tcPr>
          <w:p w14:paraId="2EFDA705" w14:textId="77777777"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53FD294E" w14:textId="77777777" w:rsidR="00F07AAC" w:rsidRPr="002E0918" w:rsidRDefault="009E6B5D" w:rsidP="00D0789F">
            <w:pPr>
              <w:tabs>
                <w:tab w:val="left" w:pos="810"/>
              </w:tabs>
              <w:rPr>
                <w:sz w:val="18"/>
                <w:szCs w:val="18"/>
              </w:rPr>
            </w:pPr>
            <w:r>
              <w:rPr>
                <w:sz w:val="18"/>
                <w:szCs w:val="18"/>
              </w:rPr>
              <w:t>N</w:t>
            </w:r>
            <w:r w:rsidR="00B93790">
              <w:rPr>
                <w:sz w:val="18"/>
                <w:szCs w:val="18"/>
              </w:rPr>
              <w:t>o</w:t>
            </w:r>
          </w:p>
        </w:tc>
      </w:tr>
      <w:tr w:rsidR="00F07AAC" w:rsidRPr="002E0918" w14:paraId="4E65E22C" w14:textId="77777777" w:rsidTr="00E603E0">
        <w:tc>
          <w:tcPr>
            <w:tcW w:w="8635" w:type="dxa"/>
            <w:tcBorders>
              <w:bottom w:val="single" w:sz="4" w:space="0" w:color="auto"/>
            </w:tcBorders>
            <w:shd w:val="clear" w:color="auto" w:fill="auto"/>
          </w:tcPr>
          <w:p w14:paraId="0A5282B1"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1A6C78E0" w14:textId="77777777" w:rsidR="00F07AAC" w:rsidRPr="002E0918" w:rsidRDefault="009E6B5D" w:rsidP="00D0789F">
            <w:pPr>
              <w:tabs>
                <w:tab w:val="left" w:pos="810"/>
              </w:tabs>
              <w:rPr>
                <w:sz w:val="18"/>
                <w:szCs w:val="18"/>
              </w:rPr>
            </w:pPr>
            <w:r>
              <w:rPr>
                <w:sz w:val="18"/>
                <w:szCs w:val="18"/>
              </w:rPr>
              <w:t>N</w:t>
            </w:r>
            <w:r w:rsidR="00B93790">
              <w:rPr>
                <w:sz w:val="18"/>
                <w:szCs w:val="18"/>
              </w:rPr>
              <w:t>o</w:t>
            </w:r>
          </w:p>
        </w:tc>
      </w:tr>
      <w:tr w:rsidR="00F07AAC" w:rsidRPr="002E0918" w14:paraId="1C8D1A42" w14:textId="77777777" w:rsidTr="00E603E0">
        <w:tc>
          <w:tcPr>
            <w:tcW w:w="8635" w:type="dxa"/>
            <w:tcBorders>
              <w:bottom w:val="single" w:sz="4" w:space="0" w:color="auto"/>
            </w:tcBorders>
            <w:shd w:val="clear" w:color="auto" w:fill="auto"/>
          </w:tcPr>
          <w:p w14:paraId="35A27FB0"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36094447" w14:textId="77777777" w:rsidR="00F07AAC" w:rsidRPr="00F97C5A" w:rsidRDefault="003A114D" w:rsidP="00D0789F">
            <w:pPr>
              <w:tabs>
                <w:tab w:val="left" w:pos="810"/>
              </w:tabs>
              <w:rPr>
                <w:sz w:val="18"/>
                <w:szCs w:val="18"/>
              </w:rPr>
            </w:pPr>
            <w:r w:rsidRPr="00F97C5A">
              <w:rPr>
                <w:sz w:val="18"/>
                <w:szCs w:val="18"/>
              </w:rPr>
              <w:t>No</w:t>
            </w:r>
          </w:p>
        </w:tc>
      </w:tr>
      <w:tr w:rsidR="00F07AAC" w:rsidRPr="002E0918" w14:paraId="2F3A0494" w14:textId="77777777" w:rsidTr="00E603E0">
        <w:tc>
          <w:tcPr>
            <w:tcW w:w="8635" w:type="dxa"/>
            <w:tcBorders>
              <w:bottom w:val="single" w:sz="4" w:space="0" w:color="auto"/>
            </w:tcBorders>
            <w:shd w:val="clear" w:color="auto" w:fill="auto"/>
          </w:tcPr>
          <w:p w14:paraId="6C350DDF" w14:textId="77777777"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A62112F" w14:textId="77777777" w:rsidR="00F07AAC" w:rsidRPr="00F97C5A" w:rsidRDefault="009E6B5D" w:rsidP="00D0789F">
            <w:pPr>
              <w:tabs>
                <w:tab w:val="left" w:pos="810"/>
              </w:tabs>
              <w:rPr>
                <w:sz w:val="18"/>
                <w:szCs w:val="18"/>
              </w:rPr>
            </w:pPr>
            <w:r w:rsidRPr="00F97C5A">
              <w:rPr>
                <w:sz w:val="18"/>
                <w:szCs w:val="18"/>
              </w:rPr>
              <w:t>N</w:t>
            </w:r>
            <w:r w:rsidR="00B93790" w:rsidRPr="00F97C5A">
              <w:rPr>
                <w:sz w:val="18"/>
                <w:szCs w:val="18"/>
              </w:rPr>
              <w:t>o</w:t>
            </w:r>
          </w:p>
        </w:tc>
      </w:tr>
      <w:tr w:rsidR="00F07AAC" w:rsidRPr="002E0918" w14:paraId="111CA115" w14:textId="77777777" w:rsidTr="00E603E0">
        <w:tc>
          <w:tcPr>
            <w:tcW w:w="8635" w:type="dxa"/>
            <w:tcBorders>
              <w:bottom w:val="single" w:sz="4" w:space="0" w:color="auto"/>
            </w:tcBorders>
            <w:shd w:val="clear" w:color="auto" w:fill="DBE5F1" w:themeFill="accent1" w:themeFillTint="33"/>
          </w:tcPr>
          <w:p w14:paraId="5FCE66B3"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0C46BF11" w14:textId="77777777" w:rsidR="00F07AAC" w:rsidRPr="00F97C5A" w:rsidRDefault="00F07AAC" w:rsidP="008E105C">
            <w:pPr>
              <w:tabs>
                <w:tab w:val="left" w:pos="810"/>
              </w:tabs>
              <w:spacing w:before="120" w:after="120"/>
              <w:rPr>
                <w:b/>
                <w:sz w:val="18"/>
                <w:szCs w:val="18"/>
              </w:rPr>
            </w:pPr>
          </w:p>
        </w:tc>
      </w:tr>
      <w:tr w:rsidR="00F07AAC" w:rsidRPr="002E0918" w14:paraId="29314C9B" w14:textId="77777777" w:rsidTr="00E603E0">
        <w:tc>
          <w:tcPr>
            <w:tcW w:w="8635" w:type="dxa"/>
            <w:tcBorders>
              <w:bottom w:val="single" w:sz="4" w:space="0" w:color="auto"/>
            </w:tcBorders>
            <w:shd w:val="clear" w:color="auto" w:fill="auto"/>
          </w:tcPr>
          <w:p w14:paraId="125C550F"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7B37DD4A" w14:textId="77777777" w:rsidR="00F07AAC" w:rsidRPr="00F97C5A" w:rsidRDefault="009E6B5D" w:rsidP="00D0789F">
            <w:pPr>
              <w:tabs>
                <w:tab w:val="left" w:pos="810"/>
              </w:tabs>
              <w:rPr>
                <w:sz w:val="18"/>
                <w:szCs w:val="18"/>
              </w:rPr>
            </w:pPr>
            <w:r w:rsidRPr="00F97C5A">
              <w:rPr>
                <w:sz w:val="18"/>
                <w:szCs w:val="18"/>
              </w:rPr>
              <w:t>N</w:t>
            </w:r>
            <w:r w:rsidR="00B93790" w:rsidRPr="00F97C5A">
              <w:rPr>
                <w:sz w:val="18"/>
                <w:szCs w:val="18"/>
              </w:rPr>
              <w:t>o</w:t>
            </w:r>
          </w:p>
        </w:tc>
      </w:tr>
      <w:tr w:rsidR="00F07AAC" w:rsidRPr="002E0918" w14:paraId="061C4135" w14:textId="77777777" w:rsidTr="00E603E0">
        <w:tc>
          <w:tcPr>
            <w:tcW w:w="8635" w:type="dxa"/>
            <w:tcBorders>
              <w:bottom w:val="single" w:sz="4" w:space="0" w:color="auto"/>
            </w:tcBorders>
            <w:shd w:val="clear" w:color="auto" w:fill="auto"/>
          </w:tcPr>
          <w:p w14:paraId="63549F5D"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40729072" w14:textId="77777777" w:rsidR="00F07AAC" w:rsidRPr="00F97C5A" w:rsidRDefault="009E6B5D" w:rsidP="00D0789F">
            <w:pPr>
              <w:tabs>
                <w:tab w:val="left" w:pos="810"/>
              </w:tabs>
              <w:rPr>
                <w:sz w:val="18"/>
                <w:szCs w:val="18"/>
              </w:rPr>
            </w:pPr>
            <w:r w:rsidRPr="00F97C5A">
              <w:rPr>
                <w:sz w:val="18"/>
                <w:szCs w:val="18"/>
              </w:rPr>
              <w:t>N</w:t>
            </w:r>
            <w:r w:rsidR="00B93790" w:rsidRPr="00F97C5A">
              <w:rPr>
                <w:sz w:val="18"/>
                <w:szCs w:val="18"/>
              </w:rPr>
              <w:t>o</w:t>
            </w:r>
          </w:p>
        </w:tc>
      </w:tr>
      <w:tr w:rsidR="008A7431" w:rsidRPr="002E0918" w14:paraId="0A786525" w14:textId="77777777" w:rsidTr="00E603E0">
        <w:tc>
          <w:tcPr>
            <w:tcW w:w="8635" w:type="dxa"/>
            <w:tcBorders>
              <w:bottom w:val="single" w:sz="4" w:space="0" w:color="auto"/>
            </w:tcBorders>
            <w:shd w:val="clear" w:color="auto" w:fill="auto"/>
          </w:tcPr>
          <w:p w14:paraId="04FE2EE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265AF511" w14:textId="77777777" w:rsidR="008A7431" w:rsidRPr="00F97C5A" w:rsidRDefault="00027D98" w:rsidP="00D0789F">
            <w:pPr>
              <w:tabs>
                <w:tab w:val="left" w:pos="810"/>
              </w:tabs>
              <w:rPr>
                <w:sz w:val="18"/>
                <w:szCs w:val="18"/>
              </w:rPr>
            </w:pPr>
            <w:r w:rsidRPr="00F97C5A">
              <w:rPr>
                <w:sz w:val="18"/>
                <w:szCs w:val="18"/>
              </w:rPr>
              <w:t>Yes</w:t>
            </w:r>
          </w:p>
        </w:tc>
      </w:tr>
      <w:tr w:rsidR="00F07AAC" w:rsidRPr="002E0918" w14:paraId="3ADDFCBD" w14:textId="77777777" w:rsidTr="00E603E0">
        <w:tc>
          <w:tcPr>
            <w:tcW w:w="8635" w:type="dxa"/>
            <w:tcBorders>
              <w:bottom w:val="single" w:sz="4" w:space="0" w:color="auto"/>
            </w:tcBorders>
            <w:shd w:val="clear" w:color="auto" w:fill="auto"/>
          </w:tcPr>
          <w:p w14:paraId="47CCF95C" w14:textId="77777777"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1D870BC0"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60DA899C" w14:textId="77777777" w:rsidR="00F07AAC" w:rsidRPr="00F97C5A" w:rsidRDefault="009E6B5D" w:rsidP="00D0789F">
            <w:pPr>
              <w:tabs>
                <w:tab w:val="left" w:pos="810"/>
              </w:tabs>
              <w:rPr>
                <w:sz w:val="18"/>
                <w:szCs w:val="18"/>
              </w:rPr>
            </w:pPr>
            <w:r w:rsidRPr="00F97C5A">
              <w:rPr>
                <w:sz w:val="18"/>
                <w:szCs w:val="18"/>
              </w:rPr>
              <w:t>N</w:t>
            </w:r>
            <w:r w:rsidR="00B93790" w:rsidRPr="00F97C5A">
              <w:rPr>
                <w:sz w:val="18"/>
                <w:szCs w:val="18"/>
              </w:rPr>
              <w:t>o</w:t>
            </w:r>
          </w:p>
        </w:tc>
      </w:tr>
    </w:tbl>
    <w:p w14:paraId="7135BB0B" w14:textId="77777777" w:rsidR="00C27006" w:rsidRDefault="00C27006">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2E0918" w14:paraId="06007D00" w14:textId="77777777" w:rsidTr="00E603E0">
        <w:tc>
          <w:tcPr>
            <w:tcW w:w="8635" w:type="dxa"/>
            <w:tcBorders>
              <w:bottom w:val="single" w:sz="4" w:space="0" w:color="auto"/>
            </w:tcBorders>
            <w:shd w:val="clear" w:color="auto" w:fill="DBE5F1" w:themeFill="accent1" w:themeFillTint="33"/>
          </w:tcPr>
          <w:p w14:paraId="355593C7" w14:textId="77777777" w:rsidR="00F07AAC" w:rsidRPr="00E06E0E" w:rsidRDefault="00F07AAC" w:rsidP="00386233">
            <w:pPr>
              <w:tabs>
                <w:tab w:val="left" w:pos="810"/>
              </w:tabs>
              <w:spacing w:before="120" w:after="120"/>
              <w:rPr>
                <w:rFonts w:eastAsia="Times New Roman"/>
                <w:b/>
                <w:sz w:val="18"/>
                <w:szCs w:val="18"/>
              </w:rPr>
            </w:pPr>
            <w:r w:rsidRPr="00E06E0E">
              <w:rPr>
                <w:b/>
                <w:sz w:val="18"/>
                <w:szCs w:val="18"/>
              </w:rPr>
              <w:t xml:space="preserve">Principle 3:  Environmental Sustainability: </w:t>
            </w:r>
            <w:r w:rsidRPr="00E06E0E">
              <w:rPr>
                <w:sz w:val="18"/>
                <w:szCs w:val="18"/>
              </w:rPr>
              <w:t>Screening</w:t>
            </w:r>
            <w:r w:rsidRPr="00E06E0E">
              <w:rPr>
                <w:b/>
                <w:sz w:val="18"/>
                <w:szCs w:val="18"/>
              </w:rPr>
              <w:t xml:space="preserve"> </w:t>
            </w:r>
            <w:r w:rsidRPr="00E06E0E">
              <w:rPr>
                <w:sz w:val="18"/>
                <w:szCs w:val="18"/>
              </w:rPr>
              <w:t>questions regarding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2F12F9A8" w14:textId="77777777" w:rsidR="00F07AAC" w:rsidRPr="00E06E0E" w:rsidRDefault="00F07AAC" w:rsidP="00D0789F">
            <w:pPr>
              <w:tabs>
                <w:tab w:val="left" w:pos="810"/>
              </w:tabs>
              <w:rPr>
                <w:sz w:val="18"/>
                <w:szCs w:val="18"/>
              </w:rPr>
            </w:pPr>
          </w:p>
        </w:tc>
      </w:tr>
      <w:tr w:rsidR="00F07AAC" w:rsidRPr="002E0918" w14:paraId="133B9200" w14:textId="77777777" w:rsidTr="00E603E0">
        <w:tc>
          <w:tcPr>
            <w:tcW w:w="8635" w:type="dxa"/>
            <w:tcBorders>
              <w:bottom w:val="single" w:sz="4" w:space="0" w:color="auto"/>
            </w:tcBorders>
            <w:shd w:val="clear" w:color="auto" w:fill="auto"/>
          </w:tcPr>
          <w:p w14:paraId="5BC809BE" w14:textId="77777777" w:rsidR="00F07AAC" w:rsidRPr="00E06E0E"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242AA653" w14:textId="77777777" w:rsidR="00F07AAC" w:rsidRPr="00E06E0E" w:rsidRDefault="00F07AAC" w:rsidP="00D0789F">
            <w:pPr>
              <w:tabs>
                <w:tab w:val="left" w:pos="810"/>
              </w:tabs>
              <w:rPr>
                <w:sz w:val="18"/>
                <w:szCs w:val="18"/>
              </w:rPr>
            </w:pPr>
          </w:p>
        </w:tc>
      </w:tr>
      <w:tr w:rsidR="00F07AAC" w:rsidRPr="00310835" w14:paraId="6B96936A" w14:textId="77777777" w:rsidTr="00E603E0">
        <w:tc>
          <w:tcPr>
            <w:tcW w:w="8635" w:type="dxa"/>
            <w:tcBorders>
              <w:bottom w:val="single" w:sz="4" w:space="0" w:color="auto"/>
            </w:tcBorders>
            <w:shd w:val="clear" w:color="auto" w:fill="DBE5F1" w:themeFill="accent1" w:themeFillTint="33"/>
            <w:vAlign w:val="center"/>
          </w:tcPr>
          <w:p w14:paraId="6F5CC74A" w14:textId="77777777" w:rsidR="00F07AAC" w:rsidRPr="00E06E0E" w:rsidRDefault="00F07AAC" w:rsidP="00D273EB">
            <w:pPr>
              <w:tabs>
                <w:tab w:val="left" w:pos="570"/>
              </w:tabs>
              <w:spacing w:before="120" w:after="120"/>
              <w:rPr>
                <w:rFonts w:eastAsia="Times New Roman"/>
                <w:b/>
                <w:sz w:val="18"/>
                <w:szCs w:val="18"/>
              </w:rPr>
            </w:pPr>
            <w:bookmarkStart w:id="2" w:name="_Hlk5284666"/>
            <w:r w:rsidRPr="00E06E0E">
              <w:rPr>
                <w:rFonts w:eastAsia="Times New Roman"/>
                <w:b/>
                <w:sz w:val="18"/>
                <w:szCs w:val="18"/>
              </w:rPr>
              <w:t xml:space="preserve">Standard 1: Biodiversity Conservation and Sustainable </w:t>
            </w:r>
            <w:hyperlink w:anchor="SustNatResManGlossary" w:history="1">
              <w:r w:rsidRPr="00E06E0E">
                <w:rPr>
                  <w:rFonts w:eastAsia="Times New Roman"/>
                  <w:b/>
                  <w:sz w:val="18"/>
                  <w:szCs w:val="18"/>
                </w:rPr>
                <w:t>Natural</w:t>
              </w:r>
            </w:hyperlink>
            <w:r w:rsidRPr="00E06E0E">
              <w:rPr>
                <w:b/>
                <w:sz w:val="18"/>
                <w:szCs w:val="18"/>
              </w:rPr>
              <w:t xml:space="preserve"> Resource Management</w:t>
            </w:r>
          </w:p>
        </w:tc>
        <w:tc>
          <w:tcPr>
            <w:tcW w:w="833" w:type="dxa"/>
            <w:tcBorders>
              <w:bottom w:val="single" w:sz="4" w:space="0" w:color="auto"/>
            </w:tcBorders>
            <w:shd w:val="clear" w:color="auto" w:fill="DBE5F1" w:themeFill="accent1" w:themeFillTint="33"/>
          </w:tcPr>
          <w:p w14:paraId="5556520D" w14:textId="77777777" w:rsidR="00F07AAC" w:rsidRPr="00E06E0E" w:rsidRDefault="00F07AAC" w:rsidP="00D0789F">
            <w:pPr>
              <w:rPr>
                <w:rFonts w:eastAsia="Times New Roman"/>
                <w:b/>
                <w:sz w:val="18"/>
                <w:szCs w:val="18"/>
              </w:rPr>
            </w:pPr>
          </w:p>
        </w:tc>
      </w:tr>
      <w:bookmarkEnd w:id="2"/>
      <w:tr w:rsidR="00F07AAC" w:rsidRPr="005362B8" w14:paraId="63E983E5" w14:textId="77777777" w:rsidTr="00E603E0">
        <w:tc>
          <w:tcPr>
            <w:tcW w:w="8635" w:type="dxa"/>
            <w:shd w:val="clear" w:color="auto" w:fill="auto"/>
          </w:tcPr>
          <w:p w14:paraId="0AA2296B" w14:textId="77777777" w:rsidR="00E74FB8" w:rsidRPr="008F2842" w:rsidRDefault="00F07AAC" w:rsidP="003F130C">
            <w:pPr>
              <w:tabs>
                <w:tab w:val="left" w:pos="900"/>
              </w:tabs>
              <w:spacing w:before="60" w:after="60"/>
              <w:ind w:left="567" w:hanging="567"/>
              <w:rPr>
                <w:rFonts w:eastAsia="Times New Roman"/>
                <w:sz w:val="18"/>
                <w:szCs w:val="18"/>
              </w:rPr>
            </w:pPr>
            <w:r w:rsidRPr="00E06E0E">
              <w:rPr>
                <w:rFonts w:eastAsia="Times New Roman"/>
                <w:sz w:val="18"/>
                <w:szCs w:val="18"/>
              </w:rPr>
              <w:t xml:space="preserve">1.1 </w:t>
            </w:r>
            <w:r w:rsidRPr="00E06E0E">
              <w:rPr>
                <w:rFonts w:eastAsia="Times New Roman"/>
                <w:sz w:val="18"/>
                <w:szCs w:val="18"/>
              </w:rPr>
              <w:tab/>
              <w:t xml:space="preserve">Would the Project potentially </w:t>
            </w:r>
            <w:r w:rsidR="003F130C" w:rsidRPr="00E06E0E">
              <w:rPr>
                <w:rFonts w:eastAsia="Times New Roman"/>
                <w:sz w:val="18"/>
                <w:szCs w:val="18"/>
              </w:rPr>
              <w:t xml:space="preserve">cause </w:t>
            </w:r>
            <w:r w:rsidRPr="00E06E0E">
              <w:rPr>
                <w:rFonts w:eastAsia="Times New Roman"/>
                <w:sz w:val="18"/>
                <w:szCs w:val="18"/>
              </w:rPr>
              <w:t xml:space="preserve">adverse impacts </w:t>
            </w:r>
            <w:r w:rsidR="00194420" w:rsidRPr="00E06E0E">
              <w:rPr>
                <w:rFonts w:eastAsia="Times New Roman"/>
                <w:sz w:val="18"/>
                <w:szCs w:val="18"/>
              </w:rPr>
              <w:t>to habitats</w:t>
            </w:r>
            <w:r w:rsidR="003F130C" w:rsidRPr="00E06E0E">
              <w:rPr>
                <w:rFonts w:eastAsia="Times New Roman"/>
                <w:sz w:val="18"/>
                <w:szCs w:val="18"/>
              </w:rPr>
              <w:t xml:space="preserve"> (e.g. modified, natural, and critical habitats)</w:t>
            </w:r>
            <w:r w:rsidRPr="00E06E0E">
              <w:rPr>
                <w:rFonts w:eastAsia="Times New Roman"/>
                <w:sz w:val="18"/>
                <w:szCs w:val="18"/>
              </w:rPr>
              <w:t xml:space="preserve"> </w:t>
            </w:r>
            <w:r w:rsidR="003F130C" w:rsidRPr="00E06E0E">
              <w:rPr>
                <w:rFonts w:eastAsia="Times New Roman"/>
                <w:sz w:val="18"/>
                <w:szCs w:val="18"/>
              </w:rPr>
              <w:t>and/or ecosystems and ecosystem services</w:t>
            </w:r>
            <w:r w:rsidRPr="00E06E0E">
              <w:rPr>
                <w:rFonts w:eastAsia="Times New Roman"/>
                <w:sz w:val="18"/>
                <w:szCs w:val="18"/>
              </w:rPr>
              <w:t>?</w:t>
            </w:r>
            <w:r w:rsidR="00E74FB8" w:rsidRPr="00E06E0E">
              <w:rPr>
                <w:rFonts w:eastAsia="Times New Roman"/>
                <w:sz w:val="18"/>
                <w:szCs w:val="18"/>
              </w:rPr>
              <w:br/>
            </w:r>
            <w:r w:rsidR="00E74FB8" w:rsidRPr="00E06E0E">
              <w:rPr>
                <w:rFonts w:eastAsia="Times New Roman"/>
                <w:sz w:val="18"/>
                <w:szCs w:val="18"/>
              </w:rPr>
              <w:br/>
            </w:r>
            <w:r w:rsidR="00E74FB8" w:rsidRPr="008F2842">
              <w:rPr>
                <w:rFonts w:eastAsia="Times New Roman"/>
                <w:i/>
                <w:sz w:val="18"/>
                <w:szCs w:val="18"/>
              </w:rPr>
              <w:t xml:space="preserve">For example, </w:t>
            </w:r>
            <w:r w:rsidR="003F130C" w:rsidRPr="008F2842">
              <w:rPr>
                <w:rFonts w:eastAsia="Times New Roman"/>
                <w:i/>
                <w:sz w:val="18"/>
                <w:szCs w:val="18"/>
              </w:rPr>
              <w:t>through habitat loss, conversion</w:t>
            </w:r>
            <w:r w:rsidR="00E74FB8" w:rsidRPr="008F2842">
              <w:rPr>
                <w:rFonts w:eastAsia="Times New Roman"/>
                <w:i/>
                <w:sz w:val="18"/>
                <w:szCs w:val="18"/>
              </w:rPr>
              <w:t xml:space="preserve"> or degradation, fragmentation, hydrological changes</w:t>
            </w:r>
          </w:p>
        </w:tc>
        <w:tc>
          <w:tcPr>
            <w:tcW w:w="833" w:type="dxa"/>
            <w:shd w:val="clear" w:color="auto" w:fill="auto"/>
          </w:tcPr>
          <w:p w14:paraId="0A1BB488" w14:textId="77777777" w:rsidR="00F07AAC" w:rsidRPr="008F2842" w:rsidRDefault="00F80FB6" w:rsidP="00D0789F">
            <w:pPr>
              <w:rPr>
                <w:rFonts w:eastAsia="Times New Roman"/>
                <w:sz w:val="18"/>
                <w:szCs w:val="18"/>
              </w:rPr>
            </w:pPr>
            <w:r>
              <w:rPr>
                <w:rFonts w:eastAsia="Times New Roman"/>
                <w:sz w:val="18"/>
                <w:szCs w:val="18"/>
              </w:rPr>
              <w:t>Yes</w:t>
            </w:r>
          </w:p>
        </w:tc>
      </w:tr>
      <w:tr w:rsidR="00F07AAC" w:rsidRPr="005362B8" w14:paraId="4F4535D2" w14:textId="77777777" w:rsidTr="00E603E0">
        <w:tc>
          <w:tcPr>
            <w:tcW w:w="8635" w:type="dxa"/>
            <w:tcBorders>
              <w:bottom w:val="single" w:sz="4" w:space="0" w:color="auto"/>
            </w:tcBorders>
            <w:shd w:val="clear" w:color="auto" w:fill="auto"/>
          </w:tcPr>
          <w:p w14:paraId="1075D4C4" w14:textId="77777777" w:rsidR="00F07AAC" w:rsidRPr="006C25FB"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6C25FB">
              <w:rPr>
                <w:rFonts w:eastAsia="Times New Roman"/>
                <w:bCs/>
                <w:color w:val="000000"/>
                <w:sz w:val="18"/>
                <w:szCs w:val="18"/>
              </w:rPr>
              <w:t>1.</w:t>
            </w:r>
            <w:r w:rsidR="001963FF" w:rsidRPr="006C25FB">
              <w:rPr>
                <w:rFonts w:eastAsia="Times New Roman"/>
                <w:bCs/>
                <w:color w:val="000000"/>
                <w:sz w:val="18"/>
                <w:szCs w:val="18"/>
              </w:rPr>
              <w:t>2</w:t>
            </w:r>
            <w:r w:rsidRPr="006C25FB">
              <w:rPr>
                <w:rFonts w:eastAsia="Times New Roman"/>
                <w:bCs/>
                <w:color w:val="000000"/>
                <w:sz w:val="18"/>
                <w:szCs w:val="18"/>
              </w:rPr>
              <w:t xml:space="preserve"> </w:t>
            </w:r>
            <w:r w:rsidRPr="006C25FB">
              <w:rPr>
                <w:rFonts w:eastAsia="Times New Roman"/>
                <w:bCs/>
                <w:color w:val="000000"/>
                <w:sz w:val="18"/>
                <w:szCs w:val="18"/>
              </w:rPr>
              <w:tab/>
              <w:t xml:space="preserve">Are any </w:t>
            </w:r>
            <w:r w:rsidR="003D3586" w:rsidRPr="006C25FB">
              <w:rPr>
                <w:rFonts w:eastAsia="Times New Roman"/>
                <w:bCs/>
                <w:color w:val="000000"/>
                <w:sz w:val="18"/>
                <w:szCs w:val="18"/>
              </w:rPr>
              <w:t xml:space="preserve">Project </w:t>
            </w:r>
            <w:r w:rsidRPr="006C25FB">
              <w:rPr>
                <w:rFonts w:eastAsia="Times New Roman"/>
                <w:bCs/>
                <w:color w:val="000000"/>
                <w:sz w:val="18"/>
                <w:szCs w:val="18"/>
              </w:rPr>
              <w:t xml:space="preserve">activities proposed within or adjacent to </w:t>
            </w:r>
            <w:r w:rsidR="001963FF" w:rsidRPr="006C25FB">
              <w:rPr>
                <w:rFonts w:eastAsia="Times New Roman"/>
                <w:bCs/>
                <w:color w:val="000000"/>
                <w:sz w:val="18"/>
                <w:szCs w:val="18"/>
              </w:rPr>
              <w:t xml:space="preserve">critical habitats and/or </w:t>
            </w:r>
            <w:r w:rsidRPr="006C25FB">
              <w:rPr>
                <w:rFonts w:eastAsia="Times New Roman"/>
                <w:bCs/>
                <w:color w:val="000000"/>
                <w:sz w:val="18"/>
                <w:szCs w:val="18"/>
              </w:rPr>
              <w:t>environmentally sensitive areas, including legally protected area</w:t>
            </w:r>
            <w:r w:rsidR="0052569A" w:rsidRPr="006C25FB">
              <w:rPr>
                <w:rFonts w:eastAsia="Times New Roman"/>
                <w:bCs/>
                <w:color w:val="000000"/>
                <w:sz w:val="18"/>
                <w:szCs w:val="18"/>
              </w:rPr>
              <w:t>s</w:t>
            </w:r>
            <w:r w:rsidRPr="006C25FB">
              <w:rPr>
                <w:rFonts w:eastAsia="Times New Roman"/>
                <w:bCs/>
                <w:color w:val="000000"/>
                <w:sz w:val="18"/>
                <w:szCs w:val="18"/>
              </w:rPr>
              <w:t xml:space="preserve"> (e.g. natur</w:t>
            </w:r>
            <w:r w:rsidR="00C32720" w:rsidRPr="006C25FB">
              <w:rPr>
                <w:rFonts w:eastAsia="Times New Roman"/>
                <w:bCs/>
                <w:color w:val="000000"/>
                <w:sz w:val="18"/>
                <w:szCs w:val="18"/>
              </w:rPr>
              <w:t>e</w:t>
            </w:r>
            <w:r w:rsidRPr="006C25FB">
              <w:rPr>
                <w:rFonts w:eastAsia="Times New Roman"/>
                <w:bCs/>
                <w:color w:val="000000"/>
                <w:sz w:val="18"/>
                <w:szCs w:val="18"/>
              </w:rPr>
              <w:t xml:space="preserv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13701E40" w14:textId="77777777" w:rsidR="00F07AAC" w:rsidRPr="008E4C7E" w:rsidRDefault="006C25FB" w:rsidP="00D0789F">
            <w:pPr>
              <w:rPr>
                <w:rFonts w:eastAsia="Times New Roman"/>
                <w:sz w:val="18"/>
                <w:szCs w:val="18"/>
              </w:rPr>
            </w:pPr>
            <w:r w:rsidRPr="008E4C7E">
              <w:rPr>
                <w:rFonts w:eastAsia="Times New Roman"/>
                <w:sz w:val="18"/>
                <w:szCs w:val="18"/>
              </w:rPr>
              <w:t>Yes</w:t>
            </w:r>
          </w:p>
        </w:tc>
      </w:tr>
      <w:tr w:rsidR="00F07AAC" w:rsidRPr="005362B8" w14:paraId="322BCD06" w14:textId="77777777" w:rsidTr="00E603E0">
        <w:tc>
          <w:tcPr>
            <w:tcW w:w="8635" w:type="dxa"/>
            <w:tcBorders>
              <w:bottom w:val="single" w:sz="4" w:space="0" w:color="auto"/>
            </w:tcBorders>
            <w:shd w:val="clear" w:color="auto" w:fill="auto"/>
          </w:tcPr>
          <w:p w14:paraId="2D2E9873" w14:textId="77777777" w:rsidR="00F07AAC" w:rsidRPr="006C25FB" w:rsidRDefault="00F07AAC" w:rsidP="005E122F">
            <w:pPr>
              <w:tabs>
                <w:tab w:val="left" w:pos="900"/>
              </w:tabs>
              <w:spacing w:before="60" w:after="60"/>
              <w:ind w:left="567" w:hanging="567"/>
              <w:rPr>
                <w:rFonts w:eastAsia="Times New Roman"/>
                <w:sz w:val="18"/>
                <w:szCs w:val="18"/>
              </w:rPr>
            </w:pPr>
            <w:r w:rsidRPr="006C25FB">
              <w:rPr>
                <w:rFonts w:eastAsia="Times New Roman"/>
                <w:sz w:val="18"/>
                <w:szCs w:val="18"/>
              </w:rPr>
              <w:t>1.</w:t>
            </w:r>
            <w:r w:rsidR="001963FF" w:rsidRPr="006C25FB">
              <w:rPr>
                <w:rFonts w:eastAsia="Times New Roman"/>
                <w:sz w:val="18"/>
                <w:szCs w:val="18"/>
              </w:rPr>
              <w:t>3</w:t>
            </w:r>
            <w:r w:rsidRPr="006C25FB">
              <w:rPr>
                <w:rFonts w:eastAsia="Times New Roman"/>
                <w:sz w:val="18"/>
                <w:szCs w:val="18"/>
              </w:rPr>
              <w:tab/>
            </w:r>
            <w:r w:rsidR="00C32720" w:rsidRPr="006C25FB">
              <w:rPr>
                <w:rFonts w:eastAsia="Times New Roman"/>
                <w:sz w:val="18"/>
                <w:szCs w:val="18"/>
              </w:rPr>
              <w:t xml:space="preserve">Does the Project involve changes to the use of lands and resources that may have adverse impacts on habitats, ecosystems, and/or livelihoods? (Note: if </w:t>
            </w:r>
            <w:r w:rsidRPr="006C25FB">
              <w:rPr>
                <w:rFonts w:eastAsia="Times New Roman"/>
                <w:sz w:val="18"/>
                <w:szCs w:val="18"/>
              </w:rPr>
              <w:t xml:space="preserve">restrictions and/or limitations of access </w:t>
            </w:r>
            <w:r w:rsidR="00C32720" w:rsidRPr="006C25FB">
              <w:rPr>
                <w:rFonts w:eastAsia="Times New Roman"/>
                <w:sz w:val="18"/>
                <w:szCs w:val="18"/>
              </w:rPr>
              <w:t xml:space="preserve">to lands </w:t>
            </w:r>
            <w:r w:rsidRPr="006C25FB">
              <w:rPr>
                <w:rFonts w:eastAsia="Times New Roman"/>
                <w:sz w:val="18"/>
                <w:szCs w:val="18"/>
              </w:rPr>
              <w:t>would apply, refer to Standard 5)</w:t>
            </w:r>
          </w:p>
        </w:tc>
        <w:tc>
          <w:tcPr>
            <w:tcW w:w="833" w:type="dxa"/>
            <w:tcBorders>
              <w:bottom w:val="single" w:sz="4" w:space="0" w:color="auto"/>
            </w:tcBorders>
            <w:shd w:val="clear" w:color="auto" w:fill="auto"/>
          </w:tcPr>
          <w:p w14:paraId="6F9B417A" w14:textId="77777777" w:rsidR="00F07AAC" w:rsidRPr="008E4C7E" w:rsidRDefault="009E6B5D" w:rsidP="00D0789F">
            <w:pPr>
              <w:rPr>
                <w:rFonts w:eastAsia="Times New Roman"/>
                <w:sz w:val="18"/>
                <w:szCs w:val="18"/>
              </w:rPr>
            </w:pPr>
            <w:r w:rsidRPr="008E4C7E">
              <w:rPr>
                <w:rFonts w:eastAsia="Times New Roman"/>
                <w:sz w:val="18"/>
                <w:szCs w:val="18"/>
              </w:rPr>
              <w:t>N</w:t>
            </w:r>
            <w:r w:rsidR="006C25FB" w:rsidRPr="008E4C7E">
              <w:rPr>
                <w:rFonts w:eastAsia="Times New Roman"/>
                <w:sz w:val="18"/>
                <w:szCs w:val="18"/>
              </w:rPr>
              <w:t>o</w:t>
            </w:r>
          </w:p>
        </w:tc>
      </w:tr>
      <w:tr w:rsidR="00C32720" w:rsidRPr="005362B8" w14:paraId="5B50F4E9" w14:textId="77777777" w:rsidTr="00E603E0">
        <w:tc>
          <w:tcPr>
            <w:tcW w:w="8635" w:type="dxa"/>
            <w:tcBorders>
              <w:bottom w:val="single" w:sz="4" w:space="0" w:color="auto"/>
            </w:tcBorders>
            <w:shd w:val="clear" w:color="auto" w:fill="auto"/>
          </w:tcPr>
          <w:p w14:paraId="556521A4" w14:textId="77777777" w:rsidR="00C32720" w:rsidRPr="006C25FB" w:rsidRDefault="001963FF" w:rsidP="005E122F">
            <w:pPr>
              <w:tabs>
                <w:tab w:val="left" w:pos="900"/>
              </w:tabs>
              <w:spacing w:before="60" w:after="60"/>
              <w:ind w:left="567" w:hanging="567"/>
              <w:rPr>
                <w:rFonts w:eastAsia="Times New Roman"/>
                <w:sz w:val="18"/>
                <w:szCs w:val="18"/>
              </w:rPr>
            </w:pPr>
            <w:r w:rsidRPr="006C25FB">
              <w:rPr>
                <w:rFonts w:eastAsia="Times New Roman"/>
                <w:sz w:val="18"/>
                <w:szCs w:val="18"/>
              </w:rPr>
              <w:t>1.4</w:t>
            </w:r>
            <w:r w:rsidR="00C32720" w:rsidRPr="006C25FB">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23C86ED7" w14:textId="77777777" w:rsidR="00C32720" w:rsidRPr="008E4C7E" w:rsidRDefault="009E6B5D" w:rsidP="00D0789F">
            <w:pPr>
              <w:rPr>
                <w:rFonts w:eastAsia="Times New Roman"/>
                <w:sz w:val="18"/>
                <w:szCs w:val="18"/>
              </w:rPr>
            </w:pPr>
            <w:r w:rsidRPr="008E4C7E">
              <w:rPr>
                <w:rFonts w:eastAsia="Times New Roman"/>
                <w:sz w:val="18"/>
                <w:szCs w:val="18"/>
              </w:rPr>
              <w:t>N</w:t>
            </w:r>
            <w:r w:rsidR="006C25FB" w:rsidRPr="008E4C7E">
              <w:rPr>
                <w:rFonts w:eastAsia="Times New Roman"/>
                <w:sz w:val="18"/>
                <w:szCs w:val="18"/>
              </w:rPr>
              <w:t>o</w:t>
            </w:r>
          </w:p>
        </w:tc>
      </w:tr>
      <w:tr w:rsidR="00F07AAC" w:rsidRPr="005362B8" w14:paraId="0BB5DFD4" w14:textId="77777777" w:rsidTr="00E603E0">
        <w:tc>
          <w:tcPr>
            <w:tcW w:w="8635" w:type="dxa"/>
            <w:tcBorders>
              <w:bottom w:val="single" w:sz="4" w:space="0" w:color="auto"/>
            </w:tcBorders>
            <w:shd w:val="clear" w:color="auto" w:fill="auto"/>
          </w:tcPr>
          <w:p w14:paraId="4BD0816F" w14:textId="77777777" w:rsidR="00F07AAC" w:rsidRPr="006C25FB" w:rsidRDefault="00F07AAC" w:rsidP="00A44274">
            <w:pPr>
              <w:tabs>
                <w:tab w:val="left" w:pos="900"/>
              </w:tabs>
              <w:spacing w:before="60" w:after="60"/>
              <w:ind w:left="567" w:hanging="567"/>
              <w:rPr>
                <w:rFonts w:eastAsia="Times New Roman"/>
                <w:sz w:val="18"/>
                <w:szCs w:val="18"/>
              </w:rPr>
            </w:pPr>
            <w:r w:rsidRPr="006C25FB">
              <w:rPr>
                <w:rFonts w:eastAsia="Times New Roman"/>
                <w:sz w:val="18"/>
                <w:szCs w:val="18"/>
              </w:rPr>
              <w:t>1.</w:t>
            </w:r>
            <w:r w:rsidR="001963FF" w:rsidRPr="006C25FB">
              <w:rPr>
                <w:rFonts w:eastAsia="Times New Roman"/>
                <w:sz w:val="18"/>
                <w:szCs w:val="18"/>
              </w:rPr>
              <w:t>5</w:t>
            </w:r>
            <w:r w:rsidRPr="006C25FB">
              <w:rPr>
                <w:rFonts w:eastAsia="Times New Roman"/>
                <w:sz w:val="18"/>
                <w:szCs w:val="18"/>
              </w:rPr>
              <w:t xml:space="preserve"> </w:t>
            </w:r>
            <w:r w:rsidRPr="006C25FB">
              <w:rPr>
                <w:rFonts w:eastAsia="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190263A8" w14:textId="77777777" w:rsidR="00F07AAC" w:rsidRPr="008E4C7E" w:rsidRDefault="009E6B5D" w:rsidP="00D0789F">
            <w:pPr>
              <w:rPr>
                <w:rFonts w:eastAsia="Times New Roman"/>
                <w:sz w:val="18"/>
                <w:szCs w:val="18"/>
              </w:rPr>
            </w:pPr>
            <w:r w:rsidRPr="008E4C7E">
              <w:rPr>
                <w:rFonts w:eastAsia="Times New Roman"/>
                <w:sz w:val="18"/>
                <w:szCs w:val="18"/>
              </w:rPr>
              <w:t>N</w:t>
            </w:r>
            <w:r w:rsidR="006C25FB" w:rsidRPr="008E4C7E">
              <w:rPr>
                <w:rFonts w:eastAsia="Times New Roman"/>
                <w:sz w:val="18"/>
                <w:szCs w:val="18"/>
              </w:rPr>
              <w:t>o</w:t>
            </w:r>
          </w:p>
        </w:tc>
      </w:tr>
      <w:tr w:rsidR="00F07AAC" w:rsidRPr="005362B8" w14:paraId="4754C7A5" w14:textId="77777777" w:rsidTr="00E603E0">
        <w:tc>
          <w:tcPr>
            <w:tcW w:w="8635" w:type="dxa"/>
            <w:tcBorders>
              <w:bottom w:val="single" w:sz="4" w:space="0" w:color="auto"/>
            </w:tcBorders>
            <w:shd w:val="clear" w:color="auto" w:fill="auto"/>
          </w:tcPr>
          <w:p w14:paraId="5B58798B" w14:textId="77777777" w:rsidR="00F07AAC" w:rsidRPr="00286011" w:rsidRDefault="00F07AAC" w:rsidP="005E122F">
            <w:pPr>
              <w:tabs>
                <w:tab w:val="left" w:pos="900"/>
              </w:tabs>
              <w:spacing w:before="60" w:after="60"/>
              <w:ind w:left="567" w:hanging="567"/>
              <w:rPr>
                <w:rFonts w:eastAsia="Times New Roman"/>
                <w:sz w:val="18"/>
                <w:szCs w:val="18"/>
              </w:rPr>
            </w:pPr>
            <w:r w:rsidRPr="00286011">
              <w:rPr>
                <w:rFonts w:eastAsia="Times New Roman"/>
                <w:sz w:val="18"/>
                <w:szCs w:val="18"/>
              </w:rPr>
              <w:t>1.</w:t>
            </w:r>
            <w:r w:rsidR="001963FF" w:rsidRPr="00286011">
              <w:rPr>
                <w:rFonts w:eastAsia="Times New Roman"/>
                <w:sz w:val="18"/>
                <w:szCs w:val="18"/>
              </w:rPr>
              <w:t>6</w:t>
            </w:r>
            <w:r w:rsidRPr="00286011">
              <w:rPr>
                <w:rFonts w:eastAsia="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6C3BA5CE" w14:textId="77777777" w:rsidR="00F07AAC" w:rsidRPr="00441487" w:rsidRDefault="006C25FB" w:rsidP="00D0789F">
            <w:pPr>
              <w:rPr>
                <w:rFonts w:eastAsia="Times New Roman"/>
                <w:sz w:val="18"/>
                <w:szCs w:val="18"/>
                <w:highlight w:val="green"/>
              </w:rPr>
            </w:pPr>
            <w:r w:rsidRPr="001C6456">
              <w:rPr>
                <w:rFonts w:eastAsia="Times New Roman"/>
                <w:sz w:val="18"/>
                <w:szCs w:val="18"/>
              </w:rPr>
              <w:t>Yes</w:t>
            </w:r>
          </w:p>
        </w:tc>
      </w:tr>
      <w:tr w:rsidR="00F07AAC" w:rsidRPr="005362B8" w14:paraId="6A7E6EF9" w14:textId="77777777" w:rsidTr="00E603E0">
        <w:tc>
          <w:tcPr>
            <w:tcW w:w="8635" w:type="dxa"/>
            <w:tcBorders>
              <w:bottom w:val="single" w:sz="4" w:space="0" w:color="auto"/>
            </w:tcBorders>
            <w:shd w:val="clear" w:color="auto" w:fill="auto"/>
          </w:tcPr>
          <w:p w14:paraId="1A7BEFDE" w14:textId="77777777" w:rsidR="00F07AAC" w:rsidRPr="00286011" w:rsidRDefault="00F07AAC" w:rsidP="005E122F">
            <w:pPr>
              <w:tabs>
                <w:tab w:val="left" w:pos="900"/>
              </w:tabs>
              <w:spacing w:before="60" w:after="60"/>
              <w:ind w:left="567" w:hanging="567"/>
              <w:rPr>
                <w:rFonts w:eastAsia="Times New Roman"/>
                <w:sz w:val="18"/>
                <w:szCs w:val="18"/>
              </w:rPr>
            </w:pPr>
            <w:r w:rsidRPr="00286011">
              <w:rPr>
                <w:rFonts w:eastAsia="Times New Roman"/>
                <w:sz w:val="18"/>
                <w:szCs w:val="18"/>
              </w:rPr>
              <w:t>1.</w:t>
            </w:r>
            <w:r w:rsidR="001963FF" w:rsidRPr="00286011">
              <w:rPr>
                <w:rFonts w:eastAsia="Times New Roman"/>
                <w:sz w:val="18"/>
                <w:szCs w:val="18"/>
              </w:rPr>
              <w:t>7</w:t>
            </w:r>
            <w:r w:rsidRPr="00286011">
              <w:rPr>
                <w:rFonts w:eastAsia="Times New Roman"/>
                <w:sz w:val="18"/>
                <w:szCs w:val="18"/>
              </w:rPr>
              <w:t xml:space="preserve"> </w:t>
            </w:r>
            <w:r w:rsidRPr="00286011">
              <w:rPr>
                <w:rFonts w:eastAsia="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1FADD2D8" w14:textId="77777777" w:rsidR="00F07AAC" w:rsidRPr="008E4C7E" w:rsidRDefault="00C4597B" w:rsidP="00D0789F">
            <w:pPr>
              <w:rPr>
                <w:rFonts w:eastAsia="Times New Roman"/>
                <w:sz w:val="18"/>
                <w:szCs w:val="18"/>
              </w:rPr>
            </w:pPr>
            <w:r>
              <w:rPr>
                <w:rFonts w:eastAsia="Times New Roman"/>
                <w:sz w:val="18"/>
                <w:szCs w:val="18"/>
              </w:rPr>
              <w:t>Yes</w:t>
            </w:r>
          </w:p>
        </w:tc>
      </w:tr>
      <w:tr w:rsidR="00F07AAC" w:rsidRPr="005362B8" w14:paraId="23516D25" w14:textId="77777777" w:rsidTr="00E603E0">
        <w:tc>
          <w:tcPr>
            <w:tcW w:w="8635" w:type="dxa"/>
            <w:tcBorders>
              <w:bottom w:val="single" w:sz="4" w:space="0" w:color="auto"/>
            </w:tcBorders>
            <w:shd w:val="clear" w:color="auto" w:fill="auto"/>
          </w:tcPr>
          <w:p w14:paraId="0F7443BE" w14:textId="77777777" w:rsidR="00F07AAC" w:rsidRPr="00286011" w:rsidRDefault="00F07AAC" w:rsidP="008E7703">
            <w:pPr>
              <w:tabs>
                <w:tab w:val="left" w:pos="900"/>
              </w:tabs>
              <w:spacing w:before="60" w:after="60"/>
              <w:ind w:left="567" w:hanging="567"/>
              <w:rPr>
                <w:rFonts w:eastAsia="Times New Roman"/>
                <w:sz w:val="18"/>
                <w:szCs w:val="18"/>
              </w:rPr>
            </w:pPr>
            <w:r w:rsidRPr="00286011">
              <w:rPr>
                <w:rFonts w:eastAsia="Times New Roman"/>
                <w:sz w:val="18"/>
                <w:szCs w:val="18"/>
              </w:rPr>
              <w:t>1.</w:t>
            </w:r>
            <w:r w:rsidR="001963FF" w:rsidRPr="00286011">
              <w:rPr>
                <w:rFonts w:eastAsia="Times New Roman"/>
                <w:sz w:val="18"/>
                <w:szCs w:val="18"/>
              </w:rPr>
              <w:t>8</w:t>
            </w:r>
            <w:r w:rsidRPr="00286011">
              <w:rPr>
                <w:rFonts w:eastAsia="Times New Roman"/>
                <w:sz w:val="18"/>
                <w:szCs w:val="18"/>
              </w:rPr>
              <w:t xml:space="preserve"> </w:t>
            </w:r>
            <w:r w:rsidRPr="00286011">
              <w:rPr>
                <w:rFonts w:eastAsia="Times New Roman"/>
                <w:sz w:val="18"/>
                <w:szCs w:val="18"/>
              </w:rPr>
              <w:tab/>
              <w:t>Does the Project involve significant extraction, diversion or containment of surface or ground water?</w:t>
            </w:r>
          </w:p>
          <w:p w14:paraId="7A57781B" w14:textId="77777777" w:rsidR="00FC63B9" w:rsidRPr="00286011" w:rsidRDefault="00FC63B9" w:rsidP="008E7703">
            <w:pPr>
              <w:tabs>
                <w:tab w:val="left" w:pos="900"/>
              </w:tabs>
              <w:spacing w:before="60" w:after="60"/>
              <w:ind w:left="567" w:hanging="567"/>
              <w:rPr>
                <w:rFonts w:eastAsia="Times New Roman"/>
                <w:i/>
                <w:sz w:val="18"/>
                <w:szCs w:val="18"/>
              </w:rPr>
            </w:pPr>
            <w:r w:rsidRPr="00286011">
              <w:rPr>
                <w:rFonts w:eastAsia="Times New Roman"/>
                <w:sz w:val="18"/>
                <w:szCs w:val="18"/>
              </w:rPr>
              <w:tab/>
            </w:r>
            <w:r w:rsidRPr="00286011">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08A7AAD5" w14:textId="77777777" w:rsidR="00F07AAC" w:rsidRPr="008E4C7E" w:rsidRDefault="009E6B5D" w:rsidP="00D0789F">
            <w:pPr>
              <w:rPr>
                <w:rFonts w:eastAsia="Times New Roman"/>
                <w:sz w:val="18"/>
                <w:szCs w:val="18"/>
              </w:rPr>
            </w:pPr>
            <w:r w:rsidRPr="008E4C7E">
              <w:rPr>
                <w:rFonts w:eastAsia="Times New Roman"/>
                <w:sz w:val="18"/>
                <w:szCs w:val="18"/>
              </w:rPr>
              <w:t>N</w:t>
            </w:r>
            <w:r w:rsidR="006C25FB" w:rsidRPr="008E4C7E">
              <w:rPr>
                <w:rFonts w:eastAsia="Times New Roman"/>
                <w:sz w:val="18"/>
                <w:szCs w:val="18"/>
              </w:rPr>
              <w:t>o</w:t>
            </w:r>
          </w:p>
        </w:tc>
      </w:tr>
      <w:tr w:rsidR="00F07AAC" w:rsidRPr="005362B8" w14:paraId="4FD39921" w14:textId="77777777" w:rsidTr="00E603E0">
        <w:tc>
          <w:tcPr>
            <w:tcW w:w="8635" w:type="dxa"/>
            <w:tcBorders>
              <w:bottom w:val="single" w:sz="4" w:space="0" w:color="auto"/>
            </w:tcBorders>
            <w:shd w:val="clear" w:color="auto" w:fill="auto"/>
          </w:tcPr>
          <w:p w14:paraId="05D4EE06" w14:textId="77777777" w:rsidR="00F07AAC" w:rsidRPr="00286011" w:rsidRDefault="00F07AAC" w:rsidP="007C2AAF">
            <w:pPr>
              <w:tabs>
                <w:tab w:val="left" w:pos="900"/>
              </w:tabs>
              <w:spacing w:before="60" w:after="60"/>
              <w:ind w:left="567" w:hanging="567"/>
              <w:rPr>
                <w:rFonts w:eastAsia="Times New Roman"/>
                <w:sz w:val="18"/>
                <w:szCs w:val="18"/>
              </w:rPr>
            </w:pPr>
            <w:r w:rsidRPr="00286011">
              <w:rPr>
                <w:rFonts w:eastAsia="Times New Roman"/>
                <w:sz w:val="18"/>
                <w:szCs w:val="18"/>
              </w:rPr>
              <w:t>1.</w:t>
            </w:r>
            <w:r w:rsidR="001963FF" w:rsidRPr="00286011">
              <w:rPr>
                <w:rFonts w:eastAsia="Times New Roman"/>
                <w:sz w:val="18"/>
                <w:szCs w:val="18"/>
              </w:rPr>
              <w:t>9</w:t>
            </w:r>
            <w:r w:rsidRPr="00286011">
              <w:rPr>
                <w:rFonts w:eastAsia="Times New Roman"/>
                <w:sz w:val="18"/>
                <w:szCs w:val="18"/>
              </w:rPr>
              <w:tab/>
              <w:t xml:space="preserve">Does the Project involve utilization </w:t>
            </w:r>
            <w:r w:rsidR="007C2AAF" w:rsidRPr="00286011">
              <w:rPr>
                <w:rFonts w:eastAsia="Times New Roman"/>
                <w:sz w:val="18"/>
                <w:szCs w:val="18"/>
              </w:rPr>
              <w:t xml:space="preserve">of genetic resources? </w:t>
            </w:r>
            <w:r w:rsidRPr="00286011">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4BC1DE4" w14:textId="77777777" w:rsidR="00F07AAC" w:rsidRPr="008E4C7E" w:rsidRDefault="00DA2C3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5362B8" w14:paraId="6C8986F6" w14:textId="77777777" w:rsidTr="00E603E0">
        <w:tc>
          <w:tcPr>
            <w:tcW w:w="8635" w:type="dxa"/>
            <w:tcBorders>
              <w:bottom w:val="single" w:sz="4" w:space="0" w:color="auto"/>
            </w:tcBorders>
            <w:shd w:val="clear" w:color="auto" w:fill="auto"/>
          </w:tcPr>
          <w:p w14:paraId="03A67703" w14:textId="77777777" w:rsidR="00F07AAC" w:rsidRPr="00286011" w:rsidRDefault="00F07AAC" w:rsidP="007C2AAF">
            <w:pPr>
              <w:tabs>
                <w:tab w:val="left" w:pos="900"/>
              </w:tabs>
              <w:spacing w:before="60" w:after="60"/>
              <w:ind w:left="567" w:hanging="567"/>
              <w:rPr>
                <w:rFonts w:eastAsia="Times New Roman"/>
                <w:b/>
                <w:sz w:val="18"/>
                <w:szCs w:val="18"/>
              </w:rPr>
            </w:pPr>
            <w:r w:rsidRPr="00286011">
              <w:rPr>
                <w:rFonts w:eastAsia="Times New Roman"/>
                <w:sz w:val="18"/>
                <w:szCs w:val="18"/>
              </w:rPr>
              <w:t>1.1</w:t>
            </w:r>
            <w:r w:rsidR="001963FF" w:rsidRPr="00286011">
              <w:rPr>
                <w:rFonts w:eastAsia="Times New Roman"/>
                <w:sz w:val="18"/>
                <w:szCs w:val="18"/>
              </w:rPr>
              <w:t>0</w:t>
            </w:r>
            <w:r w:rsidRPr="00286011">
              <w:rPr>
                <w:rFonts w:eastAsia="Times New Roman"/>
                <w:sz w:val="18"/>
                <w:szCs w:val="18"/>
              </w:rPr>
              <w:tab/>
              <w:t xml:space="preserve">Would the Project </w:t>
            </w:r>
            <w:r w:rsidR="007C2AAF" w:rsidRPr="00286011">
              <w:rPr>
                <w:rFonts w:eastAsia="Times New Roman"/>
                <w:sz w:val="18"/>
                <w:szCs w:val="18"/>
              </w:rPr>
              <w:t xml:space="preserve">generate </w:t>
            </w:r>
            <w:r w:rsidRPr="00286011">
              <w:rPr>
                <w:rFonts w:eastAsia="Times New Roman"/>
                <w:sz w:val="18"/>
                <w:szCs w:val="18"/>
              </w:rPr>
              <w:t>potential adverse transboundary or global environmental concerns?</w:t>
            </w:r>
          </w:p>
        </w:tc>
        <w:tc>
          <w:tcPr>
            <w:tcW w:w="833" w:type="dxa"/>
            <w:tcBorders>
              <w:bottom w:val="single" w:sz="4" w:space="0" w:color="auto"/>
            </w:tcBorders>
            <w:shd w:val="clear" w:color="auto" w:fill="auto"/>
          </w:tcPr>
          <w:p w14:paraId="24305069" w14:textId="77777777" w:rsidR="00F07AAC" w:rsidRPr="008E4C7E" w:rsidRDefault="009E6B5D" w:rsidP="00D0789F">
            <w:pPr>
              <w:tabs>
                <w:tab w:val="left" w:pos="585"/>
              </w:tabs>
              <w:spacing w:before="60" w:after="60"/>
              <w:ind w:left="567" w:hanging="567"/>
              <w:rPr>
                <w:rFonts w:eastAsia="Times New Roman"/>
                <w:sz w:val="18"/>
                <w:szCs w:val="18"/>
              </w:rPr>
            </w:pPr>
            <w:r w:rsidRPr="008E4C7E">
              <w:rPr>
                <w:rFonts w:eastAsia="Times New Roman"/>
                <w:sz w:val="18"/>
                <w:szCs w:val="18"/>
              </w:rPr>
              <w:t>N</w:t>
            </w:r>
            <w:r w:rsidR="006C25FB" w:rsidRPr="008E4C7E">
              <w:rPr>
                <w:rFonts w:eastAsia="Times New Roman"/>
                <w:sz w:val="18"/>
                <w:szCs w:val="18"/>
              </w:rPr>
              <w:t>o</w:t>
            </w:r>
          </w:p>
        </w:tc>
      </w:tr>
      <w:tr w:rsidR="00F07AAC" w:rsidRPr="005362B8" w14:paraId="43E3CA8A" w14:textId="77777777" w:rsidTr="00E603E0">
        <w:tc>
          <w:tcPr>
            <w:tcW w:w="8635" w:type="dxa"/>
            <w:tcBorders>
              <w:bottom w:val="single" w:sz="4" w:space="0" w:color="auto"/>
            </w:tcBorders>
            <w:shd w:val="clear" w:color="auto" w:fill="auto"/>
          </w:tcPr>
          <w:p w14:paraId="730B7BC2" w14:textId="77777777" w:rsidR="00B50E6E" w:rsidRPr="00286011" w:rsidRDefault="00F07AAC" w:rsidP="00947BE1">
            <w:pPr>
              <w:tabs>
                <w:tab w:val="left" w:pos="900"/>
              </w:tabs>
              <w:spacing w:before="60" w:after="60"/>
              <w:ind w:left="567" w:hanging="567"/>
              <w:rPr>
                <w:rFonts w:eastAsia="Times New Roman"/>
                <w:sz w:val="18"/>
                <w:szCs w:val="18"/>
              </w:rPr>
            </w:pPr>
            <w:r w:rsidRPr="00286011">
              <w:rPr>
                <w:rFonts w:eastAsia="Times New Roman"/>
                <w:sz w:val="18"/>
                <w:szCs w:val="18"/>
              </w:rPr>
              <w:t>1.1</w:t>
            </w:r>
            <w:r w:rsidR="001963FF" w:rsidRPr="00286011">
              <w:rPr>
                <w:rFonts w:eastAsia="Times New Roman"/>
                <w:sz w:val="18"/>
                <w:szCs w:val="18"/>
              </w:rPr>
              <w:t>1</w:t>
            </w:r>
            <w:r w:rsidRPr="00286011">
              <w:rPr>
                <w:rFonts w:eastAsia="Times New Roman"/>
                <w:sz w:val="18"/>
                <w:szCs w:val="18"/>
              </w:rPr>
              <w:tab/>
              <w:t xml:space="preserve">Would the Project result in secondary or consequential development </w:t>
            </w:r>
            <w:r w:rsidR="007C2AAF" w:rsidRPr="00286011">
              <w:rPr>
                <w:rFonts w:eastAsia="Times New Roman"/>
                <w:sz w:val="18"/>
                <w:szCs w:val="18"/>
              </w:rPr>
              <w:t xml:space="preserve">activities </w:t>
            </w:r>
            <w:r w:rsidRPr="00286011">
              <w:rPr>
                <w:rFonts w:eastAsia="Times New Roman"/>
                <w:sz w:val="18"/>
                <w:szCs w:val="18"/>
              </w:rPr>
              <w:t>which could lead to adverse social and environmental effects, or would it generate cumulative impacts with other known existing or planned activities in the area?</w:t>
            </w:r>
          </w:p>
          <w:p w14:paraId="1A97AD00" w14:textId="77777777" w:rsidR="00F07AAC" w:rsidRPr="00286011" w:rsidRDefault="00B50E6E" w:rsidP="00B214DE">
            <w:pPr>
              <w:tabs>
                <w:tab w:val="left" w:pos="900"/>
              </w:tabs>
              <w:spacing w:before="60" w:after="60"/>
              <w:ind w:left="567" w:hanging="567"/>
              <w:rPr>
                <w:rFonts w:eastAsia="Times New Roman"/>
                <w:i/>
                <w:sz w:val="18"/>
                <w:szCs w:val="18"/>
              </w:rPr>
            </w:pPr>
            <w:r w:rsidRPr="00286011">
              <w:rPr>
                <w:rFonts w:eastAsia="Times New Roman"/>
                <w:sz w:val="18"/>
                <w:szCs w:val="18"/>
              </w:rPr>
              <w:tab/>
            </w:r>
            <w:r w:rsidRPr="00286011">
              <w:rPr>
                <w:rFonts w:eastAsia="Times New Roman"/>
                <w:i/>
                <w:sz w:val="18"/>
                <w:szCs w:val="18"/>
              </w:rPr>
              <w:t>For example, a new road through forested lands will generate direct environmental and social impacts (e.g. felling</w:t>
            </w:r>
            <w:r w:rsidR="000D4E2F" w:rsidRPr="00286011">
              <w:rPr>
                <w:rFonts w:eastAsia="Times New Roman"/>
                <w:i/>
                <w:sz w:val="18"/>
                <w:szCs w:val="18"/>
              </w:rPr>
              <w:t xml:space="preserve"> of</w:t>
            </w:r>
            <w:r w:rsidRPr="00286011">
              <w:rPr>
                <w:rFonts w:eastAsia="Times New Roman"/>
                <w:i/>
                <w:sz w:val="18"/>
                <w:szCs w:val="18"/>
              </w:rPr>
              <w:t xml:space="preserve"> trees, earthworks, potential relocation of inhabitants). </w:t>
            </w:r>
            <w:r w:rsidR="000D4E2F" w:rsidRPr="00286011">
              <w:rPr>
                <w:rFonts w:eastAsia="Times New Roman"/>
                <w:i/>
                <w:sz w:val="18"/>
                <w:szCs w:val="18"/>
              </w:rPr>
              <w:t>The new r</w:t>
            </w:r>
            <w:r w:rsidR="00DD4FDA" w:rsidRPr="00286011">
              <w:rPr>
                <w:rFonts w:eastAsia="Times New Roman"/>
                <w:i/>
                <w:sz w:val="18"/>
                <w:szCs w:val="18"/>
              </w:rPr>
              <w:t>o</w:t>
            </w:r>
            <w:r w:rsidR="000D4E2F" w:rsidRPr="00286011">
              <w:rPr>
                <w:rFonts w:eastAsia="Times New Roman"/>
                <w:i/>
                <w:sz w:val="18"/>
                <w:szCs w:val="18"/>
              </w:rPr>
              <w:t>a</w:t>
            </w:r>
            <w:r w:rsidR="00DD4FDA" w:rsidRPr="00286011">
              <w:rPr>
                <w:rFonts w:eastAsia="Times New Roman"/>
                <w:i/>
                <w:sz w:val="18"/>
                <w:szCs w:val="18"/>
              </w:rPr>
              <w:t>d may also facilitate encroach</w:t>
            </w:r>
            <w:r w:rsidR="000D4E2F" w:rsidRPr="00286011">
              <w:rPr>
                <w:rFonts w:eastAsia="Times New Roman"/>
                <w:i/>
                <w:sz w:val="18"/>
                <w:szCs w:val="18"/>
              </w:rPr>
              <w:t>ment on lands by illegal settler</w:t>
            </w:r>
            <w:r w:rsidR="00DD4FDA" w:rsidRPr="00286011">
              <w:rPr>
                <w:rFonts w:eastAsia="Times New Roman"/>
                <w:i/>
                <w:sz w:val="18"/>
                <w:szCs w:val="18"/>
              </w:rPr>
              <w:t xml:space="preserve">s or generate </w:t>
            </w:r>
            <w:r w:rsidR="000D4E2F" w:rsidRPr="00286011">
              <w:rPr>
                <w:rFonts w:eastAsia="Times New Roman"/>
                <w:i/>
                <w:sz w:val="18"/>
                <w:szCs w:val="18"/>
              </w:rPr>
              <w:t xml:space="preserve">unplanned </w:t>
            </w:r>
            <w:r w:rsidR="00DD4FDA" w:rsidRPr="00286011">
              <w:rPr>
                <w:rFonts w:eastAsia="Times New Roman"/>
                <w:i/>
                <w:sz w:val="18"/>
                <w:szCs w:val="18"/>
              </w:rPr>
              <w:t xml:space="preserve">commercial development along the route, potentially in sensitive </w:t>
            </w:r>
            <w:r w:rsidR="00B214DE" w:rsidRPr="00286011">
              <w:rPr>
                <w:rFonts w:eastAsia="Times New Roman"/>
                <w:i/>
                <w:sz w:val="18"/>
                <w:szCs w:val="18"/>
              </w:rPr>
              <w:t>areas. These are ind</w:t>
            </w:r>
            <w:r w:rsidR="00DD4FDA" w:rsidRPr="00286011">
              <w:rPr>
                <w:rFonts w:eastAsia="Times New Roman"/>
                <w:i/>
                <w:sz w:val="18"/>
                <w:szCs w:val="18"/>
              </w:rPr>
              <w:t>i</w:t>
            </w:r>
            <w:r w:rsidR="00B214DE" w:rsidRPr="00286011">
              <w:rPr>
                <w:rFonts w:eastAsia="Times New Roman"/>
                <w:i/>
                <w:sz w:val="18"/>
                <w:szCs w:val="18"/>
              </w:rPr>
              <w:t>r</w:t>
            </w:r>
            <w:r w:rsidR="00DD4FDA" w:rsidRPr="00286011">
              <w:rPr>
                <w:rFonts w:eastAsia="Times New Roman"/>
                <w:i/>
                <w:sz w:val="18"/>
                <w:szCs w:val="18"/>
              </w:rPr>
              <w:t>ect</w:t>
            </w:r>
            <w:r w:rsidR="00B214DE" w:rsidRPr="00286011">
              <w:rPr>
                <w:rFonts w:eastAsia="Times New Roman"/>
                <w:i/>
                <w:sz w:val="18"/>
                <w:szCs w:val="18"/>
              </w:rPr>
              <w:t>, secondary,</w:t>
            </w:r>
            <w:r w:rsidR="00DD4FDA" w:rsidRPr="00286011">
              <w:rPr>
                <w:rFonts w:eastAsia="Times New Roman"/>
                <w:i/>
                <w:sz w:val="18"/>
                <w:szCs w:val="18"/>
              </w:rPr>
              <w:t xml:space="preserve"> or induced </w:t>
            </w:r>
            <w:r w:rsidR="00B214DE" w:rsidRPr="00286011">
              <w:rPr>
                <w:rFonts w:eastAsia="Times New Roman"/>
                <w:i/>
                <w:sz w:val="18"/>
                <w:szCs w:val="18"/>
              </w:rPr>
              <w:t>impacts</w:t>
            </w:r>
            <w:r w:rsidR="00DD4FDA" w:rsidRPr="00286011">
              <w:rPr>
                <w:rFonts w:eastAsia="Times New Roman"/>
                <w:i/>
                <w:sz w:val="18"/>
                <w:szCs w:val="18"/>
              </w:rPr>
              <w:t xml:space="preserve"> that need to be considered</w:t>
            </w:r>
            <w:r w:rsidR="00B214DE" w:rsidRPr="00286011">
              <w:rPr>
                <w:rFonts w:eastAsia="Times New Roman"/>
                <w:i/>
                <w:sz w:val="18"/>
                <w:szCs w:val="18"/>
              </w:rPr>
              <w:t xml:space="preserve">. Also, if similar developments in the same forested area are planned, then cumulative impacts of multiple activities </w:t>
            </w:r>
            <w:r w:rsidR="000D4E2F" w:rsidRPr="00286011">
              <w:rPr>
                <w:rFonts w:eastAsia="Times New Roman"/>
                <w:i/>
                <w:sz w:val="18"/>
                <w:szCs w:val="18"/>
              </w:rPr>
              <w:t xml:space="preserve">(even if not part of the same Project) </w:t>
            </w:r>
            <w:r w:rsidR="00B214DE" w:rsidRPr="00286011">
              <w:rPr>
                <w:rFonts w:eastAsia="Times New Roman"/>
                <w:i/>
                <w:sz w:val="18"/>
                <w:szCs w:val="18"/>
              </w:rPr>
              <w:t>need to be considered.</w:t>
            </w:r>
          </w:p>
        </w:tc>
        <w:tc>
          <w:tcPr>
            <w:tcW w:w="833" w:type="dxa"/>
            <w:tcBorders>
              <w:bottom w:val="single" w:sz="4" w:space="0" w:color="auto"/>
            </w:tcBorders>
            <w:shd w:val="clear" w:color="auto" w:fill="auto"/>
          </w:tcPr>
          <w:p w14:paraId="47D4A5A7" w14:textId="77777777" w:rsidR="00F07AAC" w:rsidRPr="00286011" w:rsidRDefault="00BC440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5362B8" w14:paraId="38BAC048" w14:textId="77777777" w:rsidTr="00E603E0">
        <w:trPr>
          <w:trHeight w:val="530"/>
        </w:trPr>
        <w:tc>
          <w:tcPr>
            <w:tcW w:w="8635" w:type="dxa"/>
            <w:tcBorders>
              <w:bottom w:val="single" w:sz="4" w:space="0" w:color="auto"/>
            </w:tcBorders>
            <w:shd w:val="clear" w:color="auto" w:fill="DBE5F1" w:themeFill="accent1" w:themeFillTint="33"/>
            <w:vAlign w:val="center"/>
          </w:tcPr>
          <w:p w14:paraId="14DDE5EE" w14:textId="77777777" w:rsidR="00F07AAC" w:rsidRPr="00286011" w:rsidRDefault="00F07AAC" w:rsidP="00D273EB">
            <w:pPr>
              <w:tabs>
                <w:tab w:val="left" w:pos="555"/>
              </w:tabs>
              <w:spacing w:before="120" w:after="120"/>
              <w:rPr>
                <w:rFonts w:eastAsia="Times New Roman"/>
                <w:b/>
                <w:sz w:val="18"/>
                <w:szCs w:val="18"/>
              </w:rPr>
            </w:pPr>
            <w:r w:rsidRPr="00286011">
              <w:rPr>
                <w:rFonts w:eastAsia="Times New Roman"/>
                <w:b/>
                <w:sz w:val="18"/>
                <w:szCs w:val="18"/>
              </w:rPr>
              <w:t>Standard 2: Climate Change</w:t>
            </w:r>
            <w:r w:rsidR="00575AB4" w:rsidRPr="00286011">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1FCA8E1D" w14:textId="77777777" w:rsidR="00F07AAC" w:rsidRPr="00286011" w:rsidRDefault="00F07AAC" w:rsidP="00D0789F">
            <w:pPr>
              <w:tabs>
                <w:tab w:val="left" w:pos="585"/>
              </w:tabs>
              <w:spacing w:before="60" w:after="60"/>
              <w:ind w:left="567" w:hanging="567"/>
              <w:rPr>
                <w:rFonts w:eastAsia="Times New Roman"/>
                <w:sz w:val="18"/>
                <w:szCs w:val="18"/>
              </w:rPr>
            </w:pPr>
          </w:p>
        </w:tc>
      </w:tr>
      <w:tr w:rsidR="00F07AAC" w:rsidRPr="005362B8" w14:paraId="214C4FA7" w14:textId="77777777" w:rsidTr="00E603E0">
        <w:tc>
          <w:tcPr>
            <w:tcW w:w="8635" w:type="dxa"/>
            <w:tcBorders>
              <w:bottom w:val="single" w:sz="4" w:space="0" w:color="auto"/>
            </w:tcBorders>
            <w:shd w:val="clear" w:color="auto" w:fill="auto"/>
          </w:tcPr>
          <w:p w14:paraId="6F6F6A83" w14:textId="77777777" w:rsidR="00F07AAC" w:rsidRPr="00286011" w:rsidRDefault="00F07AAC" w:rsidP="00297961">
            <w:pPr>
              <w:tabs>
                <w:tab w:val="left" w:pos="585"/>
              </w:tabs>
              <w:spacing w:before="60" w:after="60"/>
              <w:ind w:left="567" w:hanging="567"/>
              <w:rPr>
                <w:rFonts w:eastAsia="Times New Roman"/>
                <w:sz w:val="18"/>
                <w:szCs w:val="18"/>
              </w:rPr>
            </w:pPr>
            <w:r w:rsidRPr="00286011">
              <w:rPr>
                <w:rFonts w:eastAsia="Times New Roman"/>
                <w:sz w:val="18"/>
                <w:szCs w:val="18"/>
              </w:rPr>
              <w:t xml:space="preserve">2.1 </w:t>
            </w:r>
            <w:r w:rsidRPr="00286011">
              <w:rPr>
                <w:rFonts w:eastAsia="Times New Roman"/>
                <w:sz w:val="18"/>
                <w:szCs w:val="18"/>
              </w:rPr>
              <w:tab/>
              <w:t>Will the proposed Project result in significant</w:t>
            </w:r>
            <w:r w:rsidRPr="00286011">
              <w:rPr>
                <w:sz w:val="18"/>
                <w:szCs w:val="18"/>
                <w:vertAlign w:val="superscript"/>
              </w:rPr>
              <w:footnoteReference w:id="2"/>
            </w:r>
            <w:r w:rsidRPr="00286011">
              <w:rPr>
                <w:rFonts w:eastAsia="Times New Roman"/>
                <w:sz w:val="18"/>
                <w:szCs w:val="18"/>
                <w:vertAlign w:val="superscript"/>
              </w:rPr>
              <w:t xml:space="preserve"> </w:t>
            </w:r>
            <w:r w:rsidRPr="00286011">
              <w:rPr>
                <w:rFonts w:eastAsia="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2056140F" w14:textId="77777777" w:rsidR="00F07AAC" w:rsidRPr="00140DF6" w:rsidRDefault="009E6B5D" w:rsidP="00D0789F">
            <w:pPr>
              <w:tabs>
                <w:tab w:val="left" w:pos="585"/>
              </w:tabs>
              <w:spacing w:before="60" w:after="60"/>
              <w:ind w:left="567" w:hanging="567"/>
              <w:rPr>
                <w:rFonts w:eastAsia="Times New Roman"/>
                <w:sz w:val="18"/>
                <w:szCs w:val="18"/>
              </w:rPr>
            </w:pPr>
            <w:r w:rsidRPr="00140DF6">
              <w:rPr>
                <w:rFonts w:eastAsia="Times New Roman"/>
                <w:sz w:val="18"/>
                <w:szCs w:val="18"/>
              </w:rPr>
              <w:t>N</w:t>
            </w:r>
            <w:r w:rsidR="00286011" w:rsidRPr="00140DF6">
              <w:rPr>
                <w:rFonts w:eastAsia="Times New Roman"/>
                <w:sz w:val="18"/>
                <w:szCs w:val="18"/>
              </w:rPr>
              <w:t>o</w:t>
            </w:r>
          </w:p>
        </w:tc>
      </w:tr>
      <w:tr w:rsidR="00F07AAC" w:rsidRPr="005362B8" w14:paraId="2949D925" w14:textId="77777777" w:rsidTr="00E603E0">
        <w:tc>
          <w:tcPr>
            <w:tcW w:w="8635" w:type="dxa"/>
            <w:tcBorders>
              <w:bottom w:val="single" w:sz="4" w:space="0" w:color="auto"/>
            </w:tcBorders>
            <w:shd w:val="clear" w:color="auto" w:fill="auto"/>
          </w:tcPr>
          <w:p w14:paraId="07988919" w14:textId="77777777" w:rsidR="00F07AAC" w:rsidRPr="00BC440A" w:rsidRDefault="00F07AAC" w:rsidP="001A5F4E">
            <w:pPr>
              <w:tabs>
                <w:tab w:val="left" w:pos="585"/>
              </w:tabs>
              <w:autoSpaceDE w:val="0"/>
              <w:autoSpaceDN w:val="0"/>
              <w:adjustRightInd w:val="0"/>
              <w:spacing w:before="60" w:after="60"/>
              <w:ind w:left="567" w:hanging="567"/>
              <w:rPr>
                <w:rFonts w:eastAsia="Times New Roman"/>
                <w:sz w:val="18"/>
                <w:szCs w:val="18"/>
              </w:rPr>
            </w:pPr>
            <w:r w:rsidRPr="00BC440A">
              <w:rPr>
                <w:rFonts w:eastAsia="Times New Roman"/>
                <w:sz w:val="18"/>
                <w:szCs w:val="18"/>
              </w:rPr>
              <w:t>2.2</w:t>
            </w:r>
            <w:r w:rsidRPr="00BC440A">
              <w:rPr>
                <w:rFonts w:eastAsia="Times New Roman"/>
                <w:sz w:val="18"/>
                <w:szCs w:val="18"/>
              </w:rPr>
              <w:tab/>
              <w:t xml:space="preserve">Would the potential outcomes of the Project be sensitive or vulnerable to potential impacts of </w:t>
            </w:r>
            <w:r w:rsidRPr="00BC440A">
              <w:rPr>
                <w:rFonts w:eastAsia="Times New Roman"/>
                <w:bCs/>
                <w:color w:val="000000"/>
                <w:sz w:val="18"/>
                <w:szCs w:val="18"/>
              </w:rPr>
              <w:t>climate</w:t>
            </w:r>
            <w:r w:rsidRPr="00BC440A">
              <w:rPr>
                <w:rFonts w:eastAsia="Times New Roman"/>
                <w:sz w:val="18"/>
                <w:szCs w:val="18"/>
              </w:rPr>
              <w:t xml:space="preserve"> change? </w:t>
            </w:r>
          </w:p>
        </w:tc>
        <w:tc>
          <w:tcPr>
            <w:tcW w:w="833" w:type="dxa"/>
            <w:tcBorders>
              <w:bottom w:val="single" w:sz="4" w:space="0" w:color="auto"/>
            </w:tcBorders>
            <w:shd w:val="clear" w:color="auto" w:fill="auto"/>
          </w:tcPr>
          <w:p w14:paraId="01D025E1" w14:textId="77777777" w:rsidR="00F07AAC" w:rsidRPr="00140DF6" w:rsidRDefault="00C67C5B"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5362B8" w14:paraId="0649B70F" w14:textId="77777777" w:rsidTr="00E603E0">
        <w:tc>
          <w:tcPr>
            <w:tcW w:w="8635" w:type="dxa"/>
            <w:tcBorders>
              <w:bottom w:val="single" w:sz="4" w:space="0" w:color="auto"/>
            </w:tcBorders>
            <w:shd w:val="clear" w:color="auto" w:fill="auto"/>
          </w:tcPr>
          <w:p w14:paraId="111C20F6" w14:textId="77777777" w:rsidR="007C2AAF" w:rsidRPr="00BC440A" w:rsidRDefault="00F07AAC" w:rsidP="007C2AAF">
            <w:pPr>
              <w:tabs>
                <w:tab w:val="left" w:pos="585"/>
              </w:tabs>
              <w:spacing w:before="60" w:after="60"/>
              <w:ind w:left="567" w:hanging="567"/>
              <w:rPr>
                <w:rFonts w:eastAsia="Times New Roman"/>
                <w:sz w:val="18"/>
                <w:szCs w:val="18"/>
              </w:rPr>
            </w:pPr>
            <w:r w:rsidRPr="00BC440A">
              <w:rPr>
                <w:rFonts w:eastAsia="Times New Roman"/>
                <w:sz w:val="18"/>
                <w:szCs w:val="18"/>
              </w:rPr>
              <w:t>2.3</w:t>
            </w:r>
            <w:r w:rsidRPr="00BC440A">
              <w:rPr>
                <w:rFonts w:eastAsia="Times New Roman"/>
                <w:sz w:val="18"/>
                <w:szCs w:val="18"/>
              </w:rPr>
              <w:tab/>
              <w:t xml:space="preserve">Is the proposed Project likely to directly or indirectly increase social and environmental </w:t>
            </w:r>
            <w:hyperlink w:anchor="CCVulnerabilityGlossary" w:history="1">
              <w:r w:rsidRPr="00BC440A">
                <w:rPr>
                  <w:rFonts w:eastAsia="Times New Roman"/>
                  <w:sz w:val="18"/>
                  <w:szCs w:val="18"/>
                </w:rPr>
                <w:t>vulnerability to climate change</w:t>
              </w:r>
            </w:hyperlink>
            <w:r w:rsidRPr="00BC440A">
              <w:rPr>
                <w:rFonts w:eastAsia="Times New Roman"/>
                <w:sz w:val="18"/>
                <w:szCs w:val="18"/>
              </w:rPr>
              <w:t xml:space="preserve"> now or in the future (also known as maladaptive practices)?</w:t>
            </w:r>
          </w:p>
          <w:p w14:paraId="7F29308A" w14:textId="77777777" w:rsidR="00F07AAC" w:rsidRPr="00BC440A" w:rsidRDefault="007C2AAF" w:rsidP="00251F82">
            <w:pPr>
              <w:tabs>
                <w:tab w:val="left" w:pos="630"/>
              </w:tabs>
              <w:spacing w:before="60" w:after="60"/>
              <w:ind w:left="630"/>
              <w:rPr>
                <w:rFonts w:eastAsia="Times New Roman"/>
                <w:sz w:val="18"/>
                <w:szCs w:val="18"/>
              </w:rPr>
            </w:pPr>
            <w:r w:rsidRPr="00BC440A">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6A3820A8" w14:textId="77777777" w:rsidR="00F07AAC" w:rsidRPr="00140DF6" w:rsidRDefault="009E6B5D" w:rsidP="00D0789F">
            <w:pPr>
              <w:tabs>
                <w:tab w:val="left" w:pos="585"/>
              </w:tabs>
              <w:spacing w:before="60" w:after="60"/>
              <w:ind w:left="567" w:hanging="567"/>
              <w:rPr>
                <w:rFonts w:eastAsia="Times New Roman"/>
                <w:sz w:val="18"/>
                <w:szCs w:val="18"/>
              </w:rPr>
            </w:pPr>
            <w:r w:rsidRPr="00140DF6">
              <w:rPr>
                <w:rFonts w:eastAsia="Times New Roman"/>
                <w:sz w:val="18"/>
                <w:szCs w:val="18"/>
              </w:rPr>
              <w:t>N</w:t>
            </w:r>
            <w:r w:rsidR="00BC440A" w:rsidRPr="00140DF6">
              <w:rPr>
                <w:rFonts w:eastAsia="Times New Roman"/>
                <w:sz w:val="18"/>
                <w:szCs w:val="18"/>
              </w:rPr>
              <w:t>o</w:t>
            </w:r>
          </w:p>
        </w:tc>
      </w:tr>
      <w:tr w:rsidR="00F07AAC" w:rsidRPr="005362B8" w14:paraId="462C61C1" w14:textId="77777777" w:rsidTr="00E603E0">
        <w:trPr>
          <w:trHeight w:val="539"/>
        </w:trPr>
        <w:tc>
          <w:tcPr>
            <w:tcW w:w="8635" w:type="dxa"/>
            <w:tcBorders>
              <w:bottom w:val="single" w:sz="4" w:space="0" w:color="auto"/>
            </w:tcBorders>
            <w:shd w:val="clear" w:color="auto" w:fill="DBE5F1" w:themeFill="accent1" w:themeFillTint="33"/>
            <w:vAlign w:val="center"/>
          </w:tcPr>
          <w:p w14:paraId="55006EC0" w14:textId="77777777" w:rsidR="00F07AAC" w:rsidRPr="005362B8" w:rsidRDefault="00F07AAC" w:rsidP="00D273EB">
            <w:pPr>
              <w:tabs>
                <w:tab w:val="left" w:pos="0"/>
                <w:tab w:val="left" w:pos="555"/>
              </w:tabs>
              <w:spacing w:before="60" w:after="60"/>
              <w:rPr>
                <w:rFonts w:eastAsia="Times New Roman"/>
                <w:b/>
                <w:sz w:val="18"/>
                <w:szCs w:val="18"/>
              </w:rPr>
            </w:pPr>
            <w:r w:rsidRPr="005362B8">
              <w:rPr>
                <w:rFonts w:eastAsia="Times New Roman"/>
                <w:b/>
                <w:sz w:val="18"/>
                <w:szCs w:val="18"/>
              </w:rPr>
              <w:t>S</w:t>
            </w:r>
            <w:r w:rsidR="00575AB4" w:rsidRPr="005362B8">
              <w:rPr>
                <w:rFonts w:eastAsia="Times New Roman"/>
                <w:b/>
                <w:sz w:val="18"/>
                <w:szCs w:val="18"/>
              </w:rPr>
              <w:t xml:space="preserve">tandard 3: Community Health, </w:t>
            </w:r>
            <w:r w:rsidRPr="005362B8">
              <w:rPr>
                <w:rFonts w:eastAsia="Times New Roman"/>
                <w:b/>
                <w:sz w:val="18"/>
                <w:szCs w:val="18"/>
              </w:rPr>
              <w:t>Safety</w:t>
            </w:r>
            <w:r w:rsidR="00575AB4" w:rsidRPr="005362B8">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0CA58D5A" w14:textId="77777777" w:rsidR="00F07AAC" w:rsidRPr="005362B8" w:rsidRDefault="00F07AAC" w:rsidP="00D273EB">
            <w:pPr>
              <w:tabs>
                <w:tab w:val="left" w:pos="585"/>
              </w:tabs>
              <w:spacing w:before="60" w:after="60"/>
              <w:ind w:left="567" w:hanging="567"/>
              <w:rPr>
                <w:rFonts w:eastAsia="Times New Roman"/>
                <w:sz w:val="18"/>
                <w:szCs w:val="18"/>
              </w:rPr>
            </w:pPr>
          </w:p>
        </w:tc>
      </w:tr>
      <w:tr w:rsidR="00F07AAC" w:rsidRPr="005362B8" w14:paraId="5FF6A562" w14:textId="77777777" w:rsidTr="00E603E0">
        <w:tc>
          <w:tcPr>
            <w:tcW w:w="8635" w:type="dxa"/>
            <w:tcBorders>
              <w:bottom w:val="single" w:sz="4" w:space="0" w:color="auto"/>
            </w:tcBorders>
            <w:shd w:val="clear" w:color="auto" w:fill="auto"/>
          </w:tcPr>
          <w:p w14:paraId="2FAEFB76" w14:textId="77777777" w:rsidR="00F07AAC" w:rsidRPr="00BC440A" w:rsidRDefault="00F07AAC" w:rsidP="00D0789F">
            <w:pPr>
              <w:tabs>
                <w:tab w:val="left" w:pos="585"/>
              </w:tabs>
              <w:spacing w:before="60" w:after="60"/>
              <w:ind w:left="567" w:hanging="567"/>
              <w:rPr>
                <w:rFonts w:eastAsia="Times New Roman"/>
                <w:sz w:val="18"/>
                <w:szCs w:val="18"/>
              </w:rPr>
            </w:pPr>
            <w:r w:rsidRPr="00BC440A">
              <w:rPr>
                <w:rFonts w:eastAsia="Times New Roman"/>
                <w:sz w:val="18"/>
                <w:szCs w:val="18"/>
              </w:rPr>
              <w:t>3.1</w:t>
            </w:r>
            <w:r w:rsidRPr="00BC440A">
              <w:rPr>
                <w:rFonts w:eastAsia="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66F1A93E" w14:textId="77777777" w:rsidR="00F07AAC" w:rsidRPr="00BC440A" w:rsidRDefault="009E6B5D" w:rsidP="00D0789F">
            <w:pPr>
              <w:tabs>
                <w:tab w:val="left" w:pos="585"/>
              </w:tabs>
              <w:spacing w:before="60" w:after="60"/>
              <w:ind w:left="567" w:hanging="567"/>
              <w:rPr>
                <w:rFonts w:eastAsia="Times New Roman"/>
                <w:sz w:val="18"/>
                <w:szCs w:val="18"/>
              </w:rPr>
            </w:pPr>
            <w:r w:rsidRPr="00BC440A">
              <w:rPr>
                <w:rFonts w:eastAsia="Times New Roman"/>
                <w:sz w:val="18"/>
                <w:szCs w:val="18"/>
              </w:rPr>
              <w:t>N</w:t>
            </w:r>
            <w:r w:rsidR="00BC440A" w:rsidRPr="00BC440A">
              <w:rPr>
                <w:rFonts w:eastAsia="Times New Roman"/>
                <w:sz w:val="18"/>
                <w:szCs w:val="18"/>
              </w:rPr>
              <w:t>o</w:t>
            </w:r>
          </w:p>
        </w:tc>
      </w:tr>
      <w:tr w:rsidR="00F07AAC" w:rsidRPr="005362B8" w14:paraId="3672BE41" w14:textId="77777777" w:rsidTr="00E603E0">
        <w:tc>
          <w:tcPr>
            <w:tcW w:w="8635" w:type="dxa"/>
            <w:tcBorders>
              <w:bottom w:val="single" w:sz="4" w:space="0" w:color="auto"/>
            </w:tcBorders>
            <w:shd w:val="clear" w:color="auto" w:fill="auto"/>
          </w:tcPr>
          <w:p w14:paraId="14339618" w14:textId="77777777" w:rsidR="00F07AAC" w:rsidRPr="00BC440A" w:rsidRDefault="00F07AAC" w:rsidP="00D0789F">
            <w:pPr>
              <w:tabs>
                <w:tab w:val="left" w:pos="585"/>
              </w:tabs>
              <w:spacing w:before="60" w:after="60"/>
              <w:ind w:left="567" w:hanging="567"/>
              <w:rPr>
                <w:rFonts w:eastAsia="Times New Roman"/>
                <w:sz w:val="18"/>
                <w:szCs w:val="18"/>
              </w:rPr>
            </w:pPr>
            <w:r w:rsidRPr="00BC440A">
              <w:rPr>
                <w:sz w:val="18"/>
                <w:szCs w:val="18"/>
              </w:rPr>
              <w:t>3.2</w:t>
            </w:r>
            <w:r w:rsidRPr="00BC440A">
              <w:rPr>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1A11C301" w14:textId="77777777" w:rsidR="00F07AAC" w:rsidRPr="00BC440A" w:rsidRDefault="009E6B5D" w:rsidP="00D0789F">
            <w:pPr>
              <w:tabs>
                <w:tab w:val="left" w:pos="585"/>
              </w:tabs>
              <w:spacing w:before="60" w:after="60"/>
              <w:ind w:left="567" w:hanging="567"/>
              <w:rPr>
                <w:rFonts w:eastAsia="Times New Roman"/>
                <w:sz w:val="18"/>
                <w:szCs w:val="18"/>
              </w:rPr>
            </w:pPr>
            <w:r w:rsidRPr="00BC440A">
              <w:rPr>
                <w:rFonts w:eastAsia="Times New Roman"/>
                <w:sz w:val="18"/>
                <w:szCs w:val="18"/>
              </w:rPr>
              <w:t>N</w:t>
            </w:r>
            <w:r w:rsidR="00BC440A" w:rsidRPr="00BC440A">
              <w:rPr>
                <w:rFonts w:eastAsia="Times New Roman"/>
                <w:sz w:val="18"/>
                <w:szCs w:val="18"/>
              </w:rPr>
              <w:t>o</w:t>
            </w:r>
          </w:p>
        </w:tc>
      </w:tr>
      <w:tr w:rsidR="00F07AAC" w:rsidRPr="005362B8" w14:paraId="2423BC19" w14:textId="77777777" w:rsidTr="00E603E0">
        <w:tc>
          <w:tcPr>
            <w:tcW w:w="8635" w:type="dxa"/>
            <w:tcBorders>
              <w:bottom w:val="single" w:sz="4" w:space="0" w:color="auto"/>
            </w:tcBorders>
            <w:shd w:val="clear" w:color="auto" w:fill="auto"/>
          </w:tcPr>
          <w:p w14:paraId="6AF982A0" w14:textId="77777777" w:rsidR="00F07AAC" w:rsidRPr="00BC440A" w:rsidRDefault="00F07AAC" w:rsidP="00D0789F">
            <w:pPr>
              <w:tabs>
                <w:tab w:val="left" w:pos="585"/>
              </w:tabs>
              <w:spacing w:before="60" w:after="60"/>
              <w:ind w:left="567" w:hanging="567"/>
              <w:rPr>
                <w:rFonts w:eastAsia="Times New Roman"/>
                <w:sz w:val="18"/>
                <w:szCs w:val="18"/>
              </w:rPr>
            </w:pPr>
            <w:r w:rsidRPr="00BC440A">
              <w:rPr>
                <w:rFonts w:eastAsia="Times New Roman"/>
                <w:sz w:val="18"/>
                <w:szCs w:val="18"/>
              </w:rPr>
              <w:t>3.3</w:t>
            </w:r>
            <w:r w:rsidRPr="00BC440A">
              <w:rPr>
                <w:rFonts w:eastAsia="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01152B1E" w14:textId="77777777" w:rsidR="00F07AAC" w:rsidRPr="00BC440A" w:rsidRDefault="009E6B5D" w:rsidP="00D0789F">
            <w:pPr>
              <w:tabs>
                <w:tab w:val="left" w:pos="585"/>
              </w:tabs>
              <w:spacing w:before="60" w:after="60"/>
              <w:ind w:left="567" w:hanging="567"/>
              <w:rPr>
                <w:rFonts w:eastAsia="Times New Roman"/>
                <w:sz w:val="18"/>
                <w:szCs w:val="18"/>
              </w:rPr>
            </w:pPr>
            <w:r w:rsidRPr="00BC440A">
              <w:rPr>
                <w:rFonts w:eastAsia="Times New Roman"/>
                <w:sz w:val="18"/>
                <w:szCs w:val="18"/>
              </w:rPr>
              <w:t>N</w:t>
            </w:r>
            <w:r w:rsidR="00BC440A" w:rsidRPr="00BC440A">
              <w:rPr>
                <w:rFonts w:eastAsia="Times New Roman"/>
                <w:sz w:val="18"/>
                <w:szCs w:val="18"/>
              </w:rPr>
              <w:t>o</w:t>
            </w:r>
          </w:p>
        </w:tc>
      </w:tr>
      <w:tr w:rsidR="00F07AAC" w:rsidRPr="005362B8" w14:paraId="71A39509" w14:textId="77777777" w:rsidTr="00E603E0">
        <w:tc>
          <w:tcPr>
            <w:tcW w:w="8635" w:type="dxa"/>
            <w:tcBorders>
              <w:bottom w:val="single" w:sz="4" w:space="0" w:color="auto"/>
            </w:tcBorders>
            <w:shd w:val="clear" w:color="auto" w:fill="auto"/>
          </w:tcPr>
          <w:p w14:paraId="09F3C648" w14:textId="77777777" w:rsidR="00F07AAC" w:rsidRPr="00BC440A" w:rsidRDefault="00F07AAC" w:rsidP="00524AFC">
            <w:pPr>
              <w:tabs>
                <w:tab w:val="left" w:pos="585"/>
              </w:tabs>
              <w:spacing w:before="60" w:after="60"/>
              <w:ind w:left="567" w:hanging="567"/>
              <w:rPr>
                <w:rFonts w:eastAsia="Times New Roman"/>
                <w:sz w:val="18"/>
                <w:szCs w:val="18"/>
              </w:rPr>
            </w:pPr>
            <w:r w:rsidRPr="00BC440A">
              <w:rPr>
                <w:rFonts w:eastAsia="Times New Roman"/>
                <w:sz w:val="18"/>
                <w:szCs w:val="18"/>
              </w:rPr>
              <w:t>3.4</w:t>
            </w:r>
            <w:r w:rsidRPr="00BC440A">
              <w:rPr>
                <w:rFonts w:eastAsia="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680A63CD" w14:textId="77777777" w:rsidR="00F07AAC" w:rsidRPr="00BC440A" w:rsidRDefault="009E6B5D" w:rsidP="00D0789F">
            <w:pPr>
              <w:tabs>
                <w:tab w:val="left" w:pos="585"/>
              </w:tabs>
              <w:spacing w:before="60" w:after="60"/>
              <w:ind w:left="567" w:hanging="567"/>
              <w:rPr>
                <w:rFonts w:eastAsia="Times New Roman"/>
                <w:sz w:val="18"/>
                <w:szCs w:val="18"/>
              </w:rPr>
            </w:pPr>
            <w:r w:rsidRPr="00BC440A">
              <w:rPr>
                <w:rFonts w:eastAsia="Times New Roman"/>
                <w:sz w:val="18"/>
                <w:szCs w:val="18"/>
              </w:rPr>
              <w:t>N</w:t>
            </w:r>
            <w:r w:rsidR="00BC440A" w:rsidRPr="00BC440A">
              <w:rPr>
                <w:rFonts w:eastAsia="Times New Roman"/>
                <w:sz w:val="18"/>
                <w:szCs w:val="18"/>
              </w:rPr>
              <w:t>o</w:t>
            </w:r>
          </w:p>
        </w:tc>
      </w:tr>
      <w:tr w:rsidR="00F07AAC" w:rsidRPr="005362B8" w14:paraId="4B993CF3" w14:textId="77777777" w:rsidTr="00E603E0">
        <w:tc>
          <w:tcPr>
            <w:tcW w:w="8635" w:type="dxa"/>
            <w:tcBorders>
              <w:bottom w:val="single" w:sz="4" w:space="0" w:color="auto"/>
            </w:tcBorders>
            <w:shd w:val="clear" w:color="auto" w:fill="auto"/>
          </w:tcPr>
          <w:p w14:paraId="2B996F75" w14:textId="77777777" w:rsidR="00F07AAC" w:rsidRPr="00BC440A" w:rsidRDefault="00F07AAC" w:rsidP="008E7703">
            <w:pPr>
              <w:tabs>
                <w:tab w:val="left" w:pos="585"/>
              </w:tabs>
              <w:spacing w:before="60" w:after="60"/>
              <w:ind w:left="567" w:hanging="567"/>
              <w:rPr>
                <w:rFonts w:eastAsia="Times New Roman"/>
                <w:sz w:val="18"/>
                <w:szCs w:val="18"/>
              </w:rPr>
            </w:pPr>
            <w:r w:rsidRPr="00BC440A">
              <w:rPr>
                <w:rFonts w:eastAsia="Times New Roman"/>
                <w:sz w:val="18"/>
                <w:szCs w:val="18"/>
              </w:rPr>
              <w:t>3.5</w:t>
            </w:r>
            <w:r w:rsidRPr="00BC440A">
              <w:rPr>
                <w:rFonts w:eastAsia="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3855B8A4" w14:textId="77777777" w:rsidR="00F07AAC" w:rsidRPr="00BC440A" w:rsidRDefault="009E6B5D" w:rsidP="00D0789F">
            <w:pPr>
              <w:tabs>
                <w:tab w:val="left" w:pos="585"/>
              </w:tabs>
              <w:spacing w:before="60" w:after="60"/>
              <w:ind w:left="567" w:hanging="567"/>
              <w:rPr>
                <w:rFonts w:eastAsia="Times New Roman"/>
                <w:sz w:val="18"/>
                <w:szCs w:val="18"/>
              </w:rPr>
            </w:pPr>
            <w:r w:rsidRPr="00BC440A">
              <w:rPr>
                <w:rFonts w:eastAsia="Times New Roman"/>
                <w:sz w:val="18"/>
                <w:szCs w:val="18"/>
              </w:rPr>
              <w:t>N</w:t>
            </w:r>
            <w:r w:rsidR="00BC440A" w:rsidRPr="00BC440A">
              <w:rPr>
                <w:rFonts w:eastAsia="Times New Roman"/>
                <w:sz w:val="18"/>
                <w:szCs w:val="18"/>
              </w:rPr>
              <w:t>o</w:t>
            </w:r>
          </w:p>
        </w:tc>
      </w:tr>
      <w:tr w:rsidR="00F07AAC" w:rsidRPr="005362B8" w14:paraId="54E8C7C7" w14:textId="77777777" w:rsidTr="00E603E0">
        <w:tc>
          <w:tcPr>
            <w:tcW w:w="8635" w:type="dxa"/>
            <w:tcBorders>
              <w:bottom w:val="single" w:sz="4" w:space="0" w:color="auto"/>
            </w:tcBorders>
            <w:shd w:val="clear" w:color="auto" w:fill="auto"/>
          </w:tcPr>
          <w:p w14:paraId="50C41A28" w14:textId="77777777" w:rsidR="00F07AAC" w:rsidRPr="00BC440A" w:rsidRDefault="00F07AAC" w:rsidP="00D0789F">
            <w:pPr>
              <w:tabs>
                <w:tab w:val="left" w:pos="585"/>
              </w:tabs>
              <w:spacing w:before="60" w:after="60"/>
              <w:ind w:left="567" w:hanging="567"/>
              <w:rPr>
                <w:rFonts w:eastAsia="Times New Roman"/>
                <w:sz w:val="18"/>
                <w:szCs w:val="18"/>
              </w:rPr>
            </w:pPr>
            <w:r w:rsidRPr="00BC440A">
              <w:rPr>
                <w:rFonts w:eastAsia="Times New Roman"/>
                <w:sz w:val="18"/>
                <w:szCs w:val="18"/>
              </w:rPr>
              <w:t>3.6</w:t>
            </w:r>
            <w:r w:rsidRPr="00BC440A">
              <w:rPr>
                <w:rFonts w:eastAsia="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0E2C4F3E" w14:textId="77777777" w:rsidR="00F07AAC" w:rsidRPr="00BC440A" w:rsidRDefault="009E6B5D" w:rsidP="00D0789F">
            <w:pPr>
              <w:tabs>
                <w:tab w:val="left" w:pos="585"/>
              </w:tabs>
              <w:spacing w:before="60" w:after="60"/>
              <w:ind w:left="567" w:hanging="567"/>
              <w:rPr>
                <w:rFonts w:eastAsia="Times New Roman"/>
                <w:sz w:val="18"/>
                <w:szCs w:val="18"/>
              </w:rPr>
            </w:pPr>
            <w:r w:rsidRPr="00BC440A">
              <w:rPr>
                <w:rFonts w:eastAsia="Times New Roman"/>
                <w:sz w:val="18"/>
                <w:szCs w:val="18"/>
              </w:rPr>
              <w:t>N</w:t>
            </w:r>
            <w:r w:rsidR="00BC440A" w:rsidRPr="00BC440A">
              <w:rPr>
                <w:rFonts w:eastAsia="Times New Roman"/>
                <w:sz w:val="18"/>
                <w:szCs w:val="18"/>
              </w:rPr>
              <w:t>o</w:t>
            </w:r>
          </w:p>
        </w:tc>
      </w:tr>
      <w:tr w:rsidR="00F07AAC" w:rsidRPr="005362B8" w14:paraId="169FEE3F" w14:textId="77777777" w:rsidTr="00E603E0">
        <w:tc>
          <w:tcPr>
            <w:tcW w:w="8635" w:type="dxa"/>
            <w:tcBorders>
              <w:bottom w:val="single" w:sz="4" w:space="0" w:color="auto"/>
            </w:tcBorders>
            <w:shd w:val="clear" w:color="auto" w:fill="auto"/>
          </w:tcPr>
          <w:p w14:paraId="0144F75C" w14:textId="77777777" w:rsidR="00F07AAC" w:rsidRPr="00BC440A" w:rsidRDefault="00F07AAC" w:rsidP="00D0789F">
            <w:pPr>
              <w:tabs>
                <w:tab w:val="left" w:pos="585"/>
              </w:tabs>
              <w:spacing w:before="60" w:after="60"/>
              <w:ind w:left="567" w:hanging="567"/>
              <w:rPr>
                <w:rFonts w:eastAsia="Times New Roman"/>
                <w:sz w:val="18"/>
                <w:szCs w:val="18"/>
              </w:rPr>
            </w:pPr>
            <w:r w:rsidRPr="00BC440A">
              <w:rPr>
                <w:rFonts w:eastAsia="Times New Roman"/>
                <w:sz w:val="18"/>
                <w:szCs w:val="18"/>
              </w:rPr>
              <w:t>3.7</w:t>
            </w:r>
            <w:r w:rsidRPr="00BC440A">
              <w:rPr>
                <w:rFonts w:eastAsia="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4DD244A3" w14:textId="77777777" w:rsidR="00F07AAC" w:rsidRPr="00BC440A" w:rsidRDefault="009E6B5D" w:rsidP="00D0789F">
            <w:pPr>
              <w:tabs>
                <w:tab w:val="left" w:pos="585"/>
              </w:tabs>
              <w:spacing w:before="60" w:after="60"/>
              <w:ind w:left="567" w:hanging="567"/>
              <w:rPr>
                <w:rFonts w:eastAsia="Times New Roman"/>
                <w:sz w:val="18"/>
                <w:szCs w:val="18"/>
              </w:rPr>
            </w:pPr>
            <w:r w:rsidRPr="00BC440A">
              <w:rPr>
                <w:rFonts w:eastAsia="Times New Roman"/>
                <w:sz w:val="18"/>
                <w:szCs w:val="18"/>
              </w:rPr>
              <w:t>N</w:t>
            </w:r>
            <w:r w:rsidR="00BC440A" w:rsidRPr="00BC440A">
              <w:rPr>
                <w:rFonts w:eastAsia="Times New Roman"/>
                <w:sz w:val="18"/>
                <w:szCs w:val="18"/>
              </w:rPr>
              <w:t>o</w:t>
            </w:r>
          </w:p>
        </w:tc>
      </w:tr>
      <w:tr w:rsidR="00F07AAC" w:rsidRPr="005362B8" w14:paraId="0C15C97A" w14:textId="77777777" w:rsidTr="00E603E0">
        <w:tc>
          <w:tcPr>
            <w:tcW w:w="8635" w:type="dxa"/>
            <w:tcBorders>
              <w:bottom w:val="single" w:sz="4" w:space="0" w:color="auto"/>
            </w:tcBorders>
            <w:shd w:val="clear" w:color="auto" w:fill="auto"/>
          </w:tcPr>
          <w:p w14:paraId="10839B57" w14:textId="77777777" w:rsidR="00F07AAC" w:rsidRPr="00BC440A" w:rsidRDefault="00F07AAC" w:rsidP="009B349B">
            <w:pPr>
              <w:tabs>
                <w:tab w:val="left" w:pos="585"/>
              </w:tabs>
              <w:spacing w:before="60" w:after="60"/>
              <w:ind w:left="567" w:hanging="567"/>
              <w:rPr>
                <w:rFonts w:eastAsia="Times New Roman"/>
                <w:sz w:val="18"/>
                <w:szCs w:val="18"/>
              </w:rPr>
            </w:pPr>
            <w:r w:rsidRPr="00BC440A">
              <w:rPr>
                <w:rFonts w:eastAsia="Times New Roman"/>
                <w:sz w:val="18"/>
                <w:szCs w:val="18"/>
              </w:rPr>
              <w:t>3.8</w:t>
            </w:r>
            <w:r w:rsidRPr="00BC440A">
              <w:rPr>
                <w:rFonts w:eastAsia="Times New Roman"/>
                <w:sz w:val="18"/>
                <w:szCs w:val="18"/>
              </w:rPr>
              <w:tab/>
              <w:t>Does the Project involve support for employment or livelihoods that may fail to comply with national and international labor standards (i.e. principles and standards of ILO fundamental conventions)?</w:t>
            </w:r>
            <w:r w:rsidR="008E17BC" w:rsidRPr="00BC440A">
              <w:rPr>
                <w:rFonts w:eastAsia="Times New Roman"/>
                <w:sz w:val="18"/>
                <w:szCs w:val="18"/>
              </w:rPr>
              <w:t xml:space="preserve"> </w:t>
            </w:r>
            <w:r w:rsidRPr="00BC440A">
              <w:rPr>
                <w:rFonts w:eastAsia="Times New Roman"/>
                <w:sz w:val="18"/>
                <w:szCs w:val="18"/>
              </w:rPr>
              <w:t xml:space="preserve"> </w:t>
            </w:r>
          </w:p>
        </w:tc>
        <w:tc>
          <w:tcPr>
            <w:tcW w:w="833" w:type="dxa"/>
            <w:tcBorders>
              <w:bottom w:val="single" w:sz="4" w:space="0" w:color="auto"/>
            </w:tcBorders>
            <w:shd w:val="clear" w:color="auto" w:fill="auto"/>
          </w:tcPr>
          <w:p w14:paraId="23EB11C7" w14:textId="77777777" w:rsidR="00F07AAC" w:rsidRPr="00BC440A" w:rsidRDefault="009E6B5D" w:rsidP="00D0789F">
            <w:pPr>
              <w:tabs>
                <w:tab w:val="left" w:pos="585"/>
              </w:tabs>
              <w:spacing w:before="60" w:after="60"/>
              <w:ind w:left="567" w:hanging="567"/>
              <w:rPr>
                <w:rFonts w:eastAsia="Times New Roman"/>
                <w:sz w:val="18"/>
                <w:szCs w:val="18"/>
              </w:rPr>
            </w:pPr>
            <w:r w:rsidRPr="00BC440A">
              <w:rPr>
                <w:rFonts w:eastAsia="Times New Roman"/>
                <w:sz w:val="18"/>
                <w:szCs w:val="18"/>
              </w:rPr>
              <w:t>N</w:t>
            </w:r>
            <w:r w:rsidR="00BC440A" w:rsidRPr="00BC440A">
              <w:rPr>
                <w:rFonts w:eastAsia="Times New Roman"/>
                <w:sz w:val="18"/>
                <w:szCs w:val="18"/>
              </w:rPr>
              <w:t>o</w:t>
            </w:r>
          </w:p>
        </w:tc>
      </w:tr>
      <w:tr w:rsidR="00F07AAC" w:rsidRPr="00310835" w14:paraId="01F58EE4" w14:textId="77777777" w:rsidTr="00E603E0">
        <w:tc>
          <w:tcPr>
            <w:tcW w:w="8635" w:type="dxa"/>
            <w:tcBorders>
              <w:bottom w:val="single" w:sz="4" w:space="0" w:color="auto"/>
            </w:tcBorders>
            <w:shd w:val="clear" w:color="auto" w:fill="auto"/>
          </w:tcPr>
          <w:p w14:paraId="3ADEFA0E" w14:textId="77777777" w:rsidR="00F07AAC" w:rsidRPr="00BC440A" w:rsidRDefault="00F07AAC" w:rsidP="00CD05E1">
            <w:pPr>
              <w:tabs>
                <w:tab w:val="left" w:pos="585"/>
              </w:tabs>
              <w:spacing w:before="60" w:after="60"/>
              <w:ind w:left="567" w:hanging="567"/>
              <w:rPr>
                <w:rFonts w:eastAsia="Times New Roman"/>
                <w:sz w:val="18"/>
                <w:szCs w:val="18"/>
              </w:rPr>
            </w:pPr>
            <w:r w:rsidRPr="00BC440A">
              <w:rPr>
                <w:rFonts w:eastAsia="Times New Roman"/>
                <w:sz w:val="18"/>
                <w:szCs w:val="18"/>
              </w:rPr>
              <w:t>3.9</w:t>
            </w:r>
            <w:r w:rsidRPr="00BC440A">
              <w:rPr>
                <w:rFonts w:eastAsia="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172BAF6C" w14:textId="77777777" w:rsidR="00F07AAC" w:rsidRPr="00BC440A" w:rsidRDefault="009E6B5D" w:rsidP="00D0789F">
            <w:pPr>
              <w:tabs>
                <w:tab w:val="left" w:pos="585"/>
              </w:tabs>
              <w:spacing w:before="60" w:after="60"/>
              <w:ind w:left="567" w:hanging="567"/>
              <w:rPr>
                <w:rFonts w:eastAsia="Times New Roman"/>
                <w:sz w:val="18"/>
                <w:szCs w:val="18"/>
              </w:rPr>
            </w:pPr>
            <w:r w:rsidRPr="00BC440A">
              <w:rPr>
                <w:rFonts w:eastAsia="Times New Roman"/>
                <w:sz w:val="18"/>
                <w:szCs w:val="18"/>
              </w:rPr>
              <w:t>N</w:t>
            </w:r>
            <w:r w:rsidR="00BC440A" w:rsidRPr="00BC440A">
              <w:rPr>
                <w:rFonts w:eastAsia="Times New Roman"/>
                <w:sz w:val="18"/>
                <w:szCs w:val="18"/>
              </w:rPr>
              <w:t>o</w:t>
            </w:r>
          </w:p>
        </w:tc>
      </w:tr>
      <w:tr w:rsidR="00F07AAC" w:rsidRPr="00310835" w14:paraId="051A134B" w14:textId="77777777" w:rsidTr="00E603E0">
        <w:trPr>
          <w:trHeight w:val="503"/>
        </w:trPr>
        <w:tc>
          <w:tcPr>
            <w:tcW w:w="8635" w:type="dxa"/>
            <w:tcBorders>
              <w:bottom w:val="single" w:sz="4" w:space="0" w:color="auto"/>
            </w:tcBorders>
            <w:shd w:val="clear" w:color="auto" w:fill="DBE5F1" w:themeFill="accent1" w:themeFillTint="33"/>
            <w:vAlign w:val="center"/>
          </w:tcPr>
          <w:p w14:paraId="44776D56"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34AA520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7BBDC92A" w14:textId="77777777" w:rsidTr="00E603E0">
        <w:tc>
          <w:tcPr>
            <w:tcW w:w="8635" w:type="dxa"/>
            <w:tcBorders>
              <w:bottom w:val="single" w:sz="4" w:space="0" w:color="auto"/>
            </w:tcBorders>
            <w:shd w:val="clear" w:color="auto" w:fill="auto"/>
          </w:tcPr>
          <w:p w14:paraId="5462C690"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6C68637E" w14:textId="77777777" w:rsidR="00F07AAC" w:rsidRPr="00310835" w:rsidRDefault="000375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8908D91" w14:textId="77777777" w:rsidTr="00E603E0">
        <w:tc>
          <w:tcPr>
            <w:tcW w:w="8635" w:type="dxa"/>
            <w:tcBorders>
              <w:bottom w:val="single" w:sz="4" w:space="0" w:color="auto"/>
            </w:tcBorders>
            <w:shd w:val="clear" w:color="auto" w:fill="auto"/>
          </w:tcPr>
          <w:p w14:paraId="3ADB3BC8"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07913450" w14:textId="77777777" w:rsidR="00F07AAC" w:rsidRPr="00310835" w:rsidRDefault="00BC440A"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0810CF71" w14:textId="77777777" w:rsidTr="00E603E0">
        <w:trPr>
          <w:trHeight w:val="566"/>
        </w:trPr>
        <w:tc>
          <w:tcPr>
            <w:tcW w:w="8635" w:type="dxa"/>
            <w:tcBorders>
              <w:bottom w:val="single" w:sz="4" w:space="0" w:color="auto"/>
            </w:tcBorders>
            <w:shd w:val="clear" w:color="auto" w:fill="DBE5F1" w:themeFill="accent1" w:themeFillTint="33"/>
            <w:vAlign w:val="center"/>
          </w:tcPr>
          <w:p w14:paraId="0C93EFD6" w14:textId="77777777"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22649765"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47C9DB5C" w14:textId="77777777" w:rsidTr="00E603E0">
        <w:tc>
          <w:tcPr>
            <w:tcW w:w="8635" w:type="dxa"/>
            <w:tcBorders>
              <w:bottom w:val="single" w:sz="4" w:space="0" w:color="auto"/>
            </w:tcBorders>
            <w:shd w:val="clear" w:color="auto" w:fill="auto"/>
          </w:tcPr>
          <w:p w14:paraId="07F2DC0D"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0AF08278" w14:textId="77777777" w:rsidR="00F07AAC" w:rsidRPr="00310835" w:rsidRDefault="00C67C5B"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117D83D9" w14:textId="77777777" w:rsidTr="00E603E0">
        <w:tc>
          <w:tcPr>
            <w:tcW w:w="8635" w:type="dxa"/>
            <w:tcBorders>
              <w:bottom w:val="single" w:sz="4" w:space="0" w:color="auto"/>
            </w:tcBorders>
            <w:shd w:val="clear" w:color="auto" w:fill="auto"/>
          </w:tcPr>
          <w:p w14:paraId="25F120E1"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2E872404" w14:textId="77777777" w:rsidR="00F07AAC" w:rsidRPr="00310835" w:rsidRDefault="00C67C5B"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2E6E0EBD" w14:textId="77777777" w:rsidTr="00E603E0">
        <w:tc>
          <w:tcPr>
            <w:tcW w:w="8635" w:type="dxa"/>
            <w:tcBorders>
              <w:bottom w:val="single" w:sz="4" w:space="0" w:color="auto"/>
            </w:tcBorders>
            <w:shd w:val="clear" w:color="auto" w:fill="auto"/>
          </w:tcPr>
          <w:p w14:paraId="1737DFDF"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55941ECA" w14:textId="77777777" w:rsidR="00F07AAC" w:rsidRPr="00310835" w:rsidRDefault="00C67C5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F3EA777" w14:textId="77777777" w:rsidTr="00E603E0">
        <w:tc>
          <w:tcPr>
            <w:tcW w:w="8635" w:type="dxa"/>
            <w:tcBorders>
              <w:bottom w:val="single" w:sz="4" w:space="0" w:color="auto"/>
            </w:tcBorders>
            <w:shd w:val="clear" w:color="auto" w:fill="auto"/>
          </w:tcPr>
          <w:p w14:paraId="4F383CF4"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3B8743BE" w14:textId="77777777" w:rsidR="00F07AAC" w:rsidRPr="00310835" w:rsidRDefault="00C67C5B"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4AB82E6D" w14:textId="77777777" w:rsidTr="00E603E0">
        <w:trPr>
          <w:trHeight w:val="584"/>
        </w:trPr>
        <w:tc>
          <w:tcPr>
            <w:tcW w:w="8635" w:type="dxa"/>
            <w:tcBorders>
              <w:bottom w:val="single" w:sz="4" w:space="0" w:color="auto"/>
            </w:tcBorders>
            <w:shd w:val="clear" w:color="auto" w:fill="DBE5F1" w:themeFill="accent1" w:themeFillTint="33"/>
            <w:vAlign w:val="center"/>
          </w:tcPr>
          <w:p w14:paraId="31AB5919"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1585D7E5"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4C2E29E2" w14:textId="77777777" w:rsidTr="00E603E0">
        <w:tc>
          <w:tcPr>
            <w:tcW w:w="8635" w:type="dxa"/>
            <w:tcBorders>
              <w:bottom w:val="single" w:sz="4" w:space="0" w:color="auto"/>
            </w:tcBorders>
            <w:shd w:val="clear" w:color="auto" w:fill="auto"/>
          </w:tcPr>
          <w:p w14:paraId="16D9FB52"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438B2599"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0057EE61" w14:textId="77777777" w:rsidTr="00E603E0">
        <w:tc>
          <w:tcPr>
            <w:tcW w:w="8635" w:type="dxa"/>
            <w:tcBorders>
              <w:bottom w:val="single" w:sz="4" w:space="0" w:color="auto"/>
            </w:tcBorders>
            <w:shd w:val="clear" w:color="auto" w:fill="auto"/>
          </w:tcPr>
          <w:p w14:paraId="2209B1FF"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68FE56E1"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7F6AFE59" w14:textId="77777777" w:rsidTr="00E603E0">
        <w:tc>
          <w:tcPr>
            <w:tcW w:w="8635" w:type="dxa"/>
            <w:tcBorders>
              <w:bottom w:val="single" w:sz="4" w:space="0" w:color="auto"/>
            </w:tcBorders>
            <w:shd w:val="clear" w:color="auto" w:fill="auto"/>
          </w:tcPr>
          <w:p w14:paraId="48609D49"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3D7ECD24" w14:textId="77777777"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4490BB37" w14:textId="77777777" w:rsidR="00F07AAC" w:rsidRPr="00310835" w:rsidRDefault="009E6B5D" w:rsidP="00BC440A">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7301E6A8" w14:textId="77777777" w:rsidTr="00E603E0">
        <w:tc>
          <w:tcPr>
            <w:tcW w:w="8635" w:type="dxa"/>
            <w:tcBorders>
              <w:bottom w:val="single" w:sz="4" w:space="0" w:color="auto"/>
            </w:tcBorders>
            <w:shd w:val="clear" w:color="auto" w:fill="auto"/>
          </w:tcPr>
          <w:p w14:paraId="46ACA693"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687F342F"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2866388B" w14:textId="77777777" w:rsidTr="00E603E0">
        <w:tc>
          <w:tcPr>
            <w:tcW w:w="8635" w:type="dxa"/>
            <w:tcBorders>
              <w:bottom w:val="single" w:sz="4" w:space="0" w:color="auto"/>
            </w:tcBorders>
            <w:shd w:val="clear" w:color="auto" w:fill="auto"/>
          </w:tcPr>
          <w:p w14:paraId="2AFAB757"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6F584544"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762B6FB7" w14:textId="77777777" w:rsidTr="00E603E0">
        <w:tc>
          <w:tcPr>
            <w:tcW w:w="8635" w:type="dxa"/>
            <w:tcBorders>
              <w:bottom w:val="single" w:sz="4" w:space="0" w:color="auto"/>
            </w:tcBorders>
            <w:shd w:val="clear" w:color="auto" w:fill="auto"/>
          </w:tcPr>
          <w:p w14:paraId="7493E344" w14:textId="77777777"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68829F70"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4F2D0AA1" w14:textId="77777777" w:rsidTr="00E603E0">
        <w:tc>
          <w:tcPr>
            <w:tcW w:w="8635" w:type="dxa"/>
            <w:tcBorders>
              <w:bottom w:val="single" w:sz="4" w:space="0" w:color="auto"/>
            </w:tcBorders>
            <w:shd w:val="clear" w:color="auto" w:fill="auto"/>
          </w:tcPr>
          <w:p w14:paraId="7B69AC20"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1FFD3027"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3F44B660" w14:textId="77777777" w:rsidTr="00E603E0">
        <w:tc>
          <w:tcPr>
            <w:tcW w:w="8635" w:type="dxa"/>
            <w:tcBorders>
              <w:bottom w:val="single" w:sz="4" w:space="0" w:color="auto"/>
            </w:tcBorders>
            <w:shd w:val="clear" w:color="auto" w:fill="auto"/>
          </w:tcPr>
          <w:p w14:paraId="0DFDA0C0"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560CAC8E"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549CCA40" w14:textId="77777777" w:rsidTr="00E603E0">
        <w:tc>
          <w:tcPr>
            <w:tcW w:w="8635" w:type="dxa"/>
            <w:tcBorders>
              <w:bottom w:val="single" w:sz="4" w:space="0" w:color="auto"/>
            </w:tcBorders>
            <w:shd w:val="clear" w:color="auto" w:fill="auto"/>
          </w:tcPr>
          <w:p w14:paraId="4A156534"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31D85E0C"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590DEB53" w14:textId="77777777" w:rsidTr="00E603E0">
        <w:trPr>
          <w:trHeight w:val="602"/>
        </w:trPr>
        <w:tc>
          <w:tcPr>
            <w:tcW w:w="8635" w:type="dxa"/>
            <w:tcBorders>
              <w:bottom w:val="single" w:sz="4" w:space="0" w:color="auto"/>
            </w:tcBorders>
            <w:shd w:val="clear" w:color="auto" w:fill="DBE5F1" w:themeFill="accent1" w:themeFillTint="33"/>
            <w:vAlign w:val="center"/>
          </w:tcPr>
          <w:p w14:paraId="1E07D590"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2D98C6C3" w14:textId="77777777" w:rsidR="00F07AAC" w:rsidRPr="00310835" w:rsidRDefault="00F07AAC" w:rsidP="009D2D88">
            <w:pPr>
              <w:rPr>
                <w:rFonts w:eastAsia="Times New Roman"/>
                <w:b/>
                <w:i/>
                <w:sz w:val="18"/>
                <w:szCs w:val="18"/>
              </w:rPr>
            </w:pPr>
          </w:p>
        </w:tc>
      </w:tr>
      <w:tr w:rsidR="00F07AAC" w:rsidRPr="00310835" w14:paraId="0F6FE537" w14:textId="77777777" w:rsidTr="00E603E0">
        <w:tc>
          <w:tcPr>
            <w:tcW w:w="8635" w:type="dxa"/>
            <w:shd w:val="clear" w:color="auto" w:fill="auto"/>
          </w:tcPr>
          <w:p w14:paraId="0609A9BF"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3BC1A8A7" w14:textId="77777777" w:rsidR="00F07AAC" w:rsidRPr="00310835" w:rsidRDefault="009E6B5D" w:rsidP="00D0789F">
            <w:pPr>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3B0A8D38" w14:textId="77777777" w:rsidTr="00E603E0">
        <w:tc>
          <w:tcPr>
            <w:tcW w:w="8635" w:type="dxa"/>
            <w:tcBorders>
              <w:bottom w:val="single" w:sz="4" w:space="0" w:color="auto"/>
            </w:tcBorders>
            <w:shd w:val="clear" w:color="auto" w:fill="auto"/>
          </w:tcPr>
          <w:p w14:paraId="52B91A97"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223DE1C2" w14:textId="77777777" w:rsidR="00F07AAC" w:rsidRPr="00310835" w:rsidRDefault="009E6B5D" w:rsidP="00D0789F">
            <w:pPr>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532CA587" w14:textId="77777777" w:rsidTr="00E603E0">
        <w:trPr>
          <w:trHeight w:val="402"/>
        </w:trPr>
        <w:tc>
          <w:tcPr>
            <w:tcW w:w="8635" w:type="dxa"/>
            <w:tcBorders>
              <w:bottom w:val="single" w:sz="4" w:space="0" w:color="auto"/>
            </w:tcBorders>
            <w:shd w:val="clear" w:color="auto" w:fill="auto"/>
          </w:tcPr>
          <w:p w14:paraId="1ED86A99"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F7E2D78"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56A35625" w14:textId="77777777" w:rsidR="00F07AAC" w:rsidRPr="00310835" w:rsidRDefault="009E6B5D" w:rsidP="00D0789F">
            <w:pPr>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2CE6122A" w14:textId="77777777" w:rsidTr="00E603E0">
        <w:tc>
          <w:tcPr>
            <w:tcW w:w="8635" w:type="dxa"/>
            <w:tcBorders>
              <w:bottom w:val="single" w:sz="4" w:space="0" w:color="auto"/>
            </w:tcBorders>
            <w:shd w:val="clear" w:color="auto" w:fill="auto"/>
          </w:tcPr>
          <w:p w14:paraId="72D70EF2"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3F655120"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r w:rsidR="00F07AAC" w:rsidRPr="00310835" w14:paraId="33FC4F1D" w14:textId="77777777" w:rsidTr="00E603E0">
        <w:tc>
          <w:tcPr>
            <w:tcW w:w="8635" w:type="dxa"/>
            <w:tcBorders>
              <w:bottom w:val="single" w:sz="4" w:space="0" w:color="auto"/>
            </w:tcBorders>
            <w:shd w:val="clear" w:color="auto" w:fill="auto"/>
          </w:tcPr>
          <w:p w14:paraId="1153B16C"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52CA3FBE" w14:textId="77777777" w:rsidR="00F07AAC" w:rsidRPr="00310835" w:rsidRDefault="009E6B5D" w:rsidP="00D0789F">
            <w:pPr>
              <w:tabs>
                <w:tab w:val="left" w:pos="585"/>
              </w:tabs>
              <w:spacing w:before="60" w:after="60"/>
              <w:ind w:left="567" w:hanging="567"/>
              <w:rPr>
                <w:rFonts w:eastAsia="Times New Roman"/>
                <w:sz w:val="18"/>
                <w:szCs w:val="18"/>
              </w:rPr>
            </w:pPr>
            <w:r>
              <w:rPr>
                <w:rFonts w:eastAsia="Times New Roman"/>
                <w:sz w:val="18"/>
                <w:szCs w:val="18"/>
              </w:rPr>
              <w:t>N</w:t>
            </w:r>
            <w:r w:rsidR="00BC440A">
              <w:rPr>
                <w:rFonts w:eastAsia="Times New Roman"/>
                <w:sz w:val="18"/>
                <w:szCs w:val="18"/>
              </w:rPr>
              <w:t>o</w:t>
            </w:r>
          </w:p>
        </w:tc>
      </w:tr>
    </w:tbl>
    <w:p w14:paraId="7173E55F"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4C53" w14:textId="77777777" w:rsidR="0003018C" w:rsidRDefault="0003018C" w:rsidP="00323A56">
      <w:r>
        <w:separator/>
      </w:r>
    </w:p>
  </w:endnote>
  <w:endnote w:type="continuationSeparator" w:id="0">
    <w:p w14:paraId="121D4AFD" w14:textId="77777777" w:rsidR="0003018C" w:rsidRDefault="0003018C" w:rsidP="00323A56">
      <w:r>
        <w:continuationSeparator/>
      </w:r>
    </w:p>
  </w:endnote>
  <w:endnote w:id="1">
    <w:p w14:paraId="13A7559C" w14:textId="77777777" w:rsidR="00D32F4C" w:rsidRPr="00526346" w:rsidRDefault="00D32F4C">
      <w:pPr>
        <w:pStyle w:val="EndnoteText"/>
        <w:rPr>
          <w:lang w:val="en-GB"/>
        </w:rPr>
      </w:pPr>
      <w:r>
        <w:rPr>
          <w:rStyle w:val="EndnoteReference"/>
        </w:rPr>
        <w:endnoteRef/>
      </w:r>
      <w:r>
        <w:t xml:space="preserve"> </w:t>
      </w:r>
      <w:r w:rsidRPr="00A22532">
        <w:t>http://web.unep.org/divisions/delc/human-rights-and-environment</w:t>
      </w:r>
    </w:p>
  </w:endnote>
  <w:endnote w:id="2">
    <w:p w14:paraId="158C09FB" w14:textId="77777777" w:rsidR="00D32F4C" w:rsidRPr="00E223E2" w:rsidRDefault="00D32F4C" w:rsidP="00D32F4C">
      <w:pPr>
        <w:pStyle w:val="EndnoteText"/>
        <w:rPr>
          <w:lang w:val="en-GB"/>
        </w:rPr>
      </w:pPr>
      <w:r>
        <w:rPr>
          <w:rStyle w:val="EndnoteReference"/>
        </w:rPr>
        <w:endnoteRef/>
      </w:r>
      <w:r>
        <w:t xml:space="preserve"> </w:t>
      </w:r>
      <w:r w:rsidRPr="00E223E2">
        <w:t>http://www.treasury.gov.lk/documents/10181/272149/RPF-NAPPP+-+For+disclosure.pdf/aa720af8-413f-4394-9ec7-1693ff487bc3</w:t>
      </w:r>
    </w:p>
  </w:endnote>
  <w:endnote w:id="3">
    <w:p w14:paraId="3867A086" w14:textId="77777777" w:rsidR="00D32F4C" w:rsidRPr="003766E9" w:rsidRDefault="00D32F4C" w:rsidP="00D32F4C">
      <w:pPr>
        <w:pStyle w:val="EndnoteText"/>
        <w:rPr>
          <w:lang w:val="en-GB"/>
        </w:rPr>
      </w:pPr>
      <w:r>
        <w:rPr>
          <w:rStyle w:val="EndnoteReference"/>
        </w:rPr>
        <w:endnoteRef/>
      </w:r>
      <w:r>
        <w:t xml:space="preserve"> </w:t>
      </w:r>
      <w:r w:rsidRPr="003766E9">
        <w:t>http://www.undp.org/content/undp/en/home/librarypage/operations1/undp-social-and-environmental-standards.html</w:t>
      </w:r>
    </w:p>
  </w:endnote>
  <w:endnote w:id="4">
    <w:p w14:paraId="7A861350" w14:textId="77777777" w:rsidR="00D32F4C" w:rsidRDefault="00D32F4C" w:rsidP="00D32F4C">
      <w:pPr>
        <w:pStyle w:val="Default"/>
      </w:pPr>
      <w:r w:rsidRPr="003766E9">
        <w:rPr>
          <w:rStyle w:val="EndnoteReference"/>
          <w:rFonts w:ascii="Gill Sans" w:hAnsi="Gill Sans" w:cs="Gill Sans"/>
          <w:sz w:val="16"/>
          <w:szCs w:val="16"/>
        </w:rPr>
        <w:endnoteRef/>
      </w:r>
      <w:r w:rsidRPr="003766E9">
        <w:rPr>
          <w:rFonts w:ascii="Gill Sans" w:hAnsi="Gill Sans" w:cs="Gill Sans"/>
          <w:sz w:val="16"/>
          <w:szCs w:val="16"/>
        </w:rPr>
        <w:t>http://www.thegef.org/sites/default/files/documents/Policy%20on%20Environmental%20and%20Social%20Safeguards%2C%20DRAFT%20for%20Consultation%2C%202018-08-31.pdf</w:t>
      </w:r>
    </w:p>
    <w:p w14:paraId="049FCDB7" w14:textId="77777777" w:rsidR="00D32F4C" w:rsidRDefault="00D32F4C" w:rsidP="00D32F4C">
      <w:pPr>
        <w:pStyle w:val="Default"/>
      </w:pPr>
    </w:p>
    <w:p w14:paraId="01A39D75" w14:textId="77777777" w:rsidR="00D32F4C" w:rsidRPr="00E054D2" w:rsidRDefault="00D32F4C" w:rsidP="00D32F4C">
      <w:pPr>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skoola Pota">
    <w:panose1 w:val="020B0502040204020203"/>
    <w:charset w:val="00"/>
    <w:family w:val="auto"/>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00000007" w:usb1="00000000" w:usb2="00000000" w:usb3="00000000" w:csb0="00000093" w:csb1="00000000"/>
  </w:font>
  <w:font w:name="Gill Sans">
    <w:altName w:val="Arial"/>
    <w:charset w:val="00"/>
    <w:family w:val="auto"/>
    <w:pitch w:val="variable"/>
    <w:sig w:usb0="80000267" w:usb1="00000000" w:usb2="00000000" w:usb3="00000000" w:csb0="000001F7" w:csb1="00000000"/>
  </w:font>
  <w:font w:name="Lucida Grande">
    <w:altName w:val="Segoe UI"/>
    <w:charset w:val="00"/>
    <w:family w:val="auto"/>
    <w:pitch w:val="variable"/>
    <w:sig w:usb0="E1000AEF" w:usb1="5000A1FF" w:usb2="00000000" w:usb3="00000000" w:csb0="000001BF" w:csb1="00000000"/>
  </w:font>
  <w:font w:name="Minion Pro">
    <w:altName w:val="Calibri"/>
    <w:charset w:val="00"/>
    <w:family w:val="auto"/>
    <w:pitch w:val="variable"/>
    <w:sig w:usb0="E00002AF" w:usb1="5000E07B" w:usb2="00000000" w:usb3="00000000" w:csb0="0000019F" w:csb1="00000000"/>
  </w:font>
  <w:font w:name="Menlo">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enlo Bold">
    <w:altName w:val="Calibri"/>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8ECB" w14:textId="77777777" w:rsidR="00E3299D" w:rsidRDefault="00E3299D" w:rsidP="00362A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41F10" w14:textId="77777777" w:rsidR="00E3299D" w:rsidRDefault="00E3299D" w:rsidP="00E329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62AB" w14:textId="77777777" w:rsidR="00E3299D" w:rsidRDefault="00E3299D" w:rsidP="00362A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D9AFF6" w14:textId="77777777" w:rsidR="00E3299D" w:rsidRDefault="00E3299D" w:rsidP="00E329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D570" w14:textId="77777777" w:rsidR="00D32F4C" w:rsidRDefault="00D32F4C"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FF0F2" w14:textId="77777777" w:rsidR="00D32F4C" w:rsidRDefault="00D32F4C" w:rsidP="00242A8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67FD" w14:textId="77777777" w:rsidR="00D32F4C" w:rsidRDefault="00D32F4C"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99D">
      <w:rPr>
        <w:rStyle w:val="PageNumber"/>
        <w:noProof/>
      </w:rPr>
      <w:t>13</w:t>
    </w:r>
    <w:r>
      <w:rPr>
        <w:rStyle w:val="PageNumber"/>
      </w:rPr>
      <w:fldChar w:fldCharType="end"/>
    </w:r>
  </w:p>
  <w:p w14:paraId="53B61306" w14:textId="77777777" w:rsidR="00D32F4C" w:rsidRDefault="00D32F4C"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2E67" w14:textId="77777777" w:rsidR="0003018C" w:rsidRDefault="0003018C" w:rsidP="00323A56">
      <w:r>
        <w:separator/>
      </w:r>
    </w:p>
  </w:footnote>
  <w:footnote w:type="continuationSeparator" w:id="0">
    <w:p w14:paraId="054EE7A9" w14:textId="77777777" w:rsidR="0003018C" w:rsidRDefault="0003018C" w:rsidP="00323A56">
      <w:r>
        <w:continuationSeparator/>
      </w:r>
    </w:p>
  </w:footnote>
  <w:footnote w:id="1">
    <w:p w14:paraId="11363A54" w14:textId="77777777" w:rsidR="00D32F4C" w:rsidRDefault="00D32F4C"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686872EB" w14:textId="77777777" w:rsidR="00D32F4C" w:rsidRPr="000319DF" w:rsidRDefault="00D32F4C"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nand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0A0D8960" w14:textId="77777777" w:rsidR="00D32F4C" w:rsidRDefault="00D32F4C"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2D95757E"/>
    <w:multiLevelType w:val="hybridMultilevel"/>
    <w:tmpl w:val="EB04AE76"/>
    <w:lvl w:ilvl="0" w:tplc="38C67DC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8D6614"/>
    <w:multiLevelType w:val="hybridMultilevel"/>
    <w:tmpl w:val="B7140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922554"/>
    <w:multiLevelType w:val="multilevel"/>
    <w:tmpl w:val="A55E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B2753"/>
    <w:multiLevelType w:val="multilevel"/>
    <w:tmpl w:val="87EE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0"/>
  </w:num>
  <w:num w:numId="5">
    <w:abstractNumId w:val="14"/>
  </w:num>
  <w:num w:numId="6">
    <w:abstractNumId w:val="21"/>
  </w:num>
  <w:num w:numId="7">
    <w:abstractNumId w:val="18"/>
  </w:num>
  <w:num w:numId="8">
    <w:abstractNumId w:val="11"/>
  </w:num>
  <w:num w:numId="9">
    <w:abstractNumId w:val="17"/>
  </w:num>
  <w:num w:numId="10">
    <w:abstractNumId w:val="13"/>
  </w:num>
  <w:num w:numId="11">
    <w:abstractNumId w:val="8"/>
  </w:num>
  <w:num w:numId="12">
    <w:abstractNumId w:val="22"/>
  </w:num>
  <w:num w:numId="13">
    <w:abstractNumId w:val="6"/>
  </w:num>
  <w:num w:numId="14">
    <w:abstractNumId w:val="4"/>
  </w:num>
  <w:num w:numId="15">
    <w:abstractNumId w:val="7"/>
  </w:num>
  <w:num w:numId="16">
    <w:abstractNumId w:val="9"/>
  </w:num>
  <w:num w:numId="17">
    <w:abstractNumId w:val="12"/>
  </w:num>
  <w:num w:numId="18">
    <w:abstractNumId w:val="2"/>
  </w:num>
  <w:num w:numId="19">
    <w:abstractNumId w:val="14"/>
  </w:num>
  <w:num w:numId="20">
    <w:abstractNumId w:val="10"/>
  </w:num>
  <w:num w:numId="21">
    <w:abstractNumId w:val="20"/>
  </w:num>
  <w:num w:numId="22">
    <w:abstractNumId w:val="19"/>
  </w:num>
  <w:num w:numId="23">
    <w:abstractNumId w:val="16"/>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028"/>
    <w:rsid w:val="000037E9"/>
    <w:rsid w:val="000054C8"/>
    <w:rsid w:val="000055CE"/>
    <w:rsid w:val="00006878"/>
    <w:rsid w:val="0000756E"/>
    <w:rsid w:val="00007BD6"/>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27D98"/>
    <w:rsid w:val="0003018C"/>
    <w:rsid w:val="000308CD"/>
    <w:rsid w:val="00030953"/>
    <w:rsid w:val="00030E17"/>
    <w:rsid w:val="00031272"/>
    <w:rsid w:val="000332BE"/>
    <w:rsid w:val="00034B7A"/>
    <w:rsid w:val="00034D9C"/>
    <w:rsid w:val="0003507E"/>
    <w:rsid w:val="00035121"/>
    <w:rsid w:val="000358D0"/>
    <w:rsid w:val="00035F4F"/>
    <w:rsid w:val="000366FB"/>
    <w:rsid w:val="000369E5"/>
    <w:rsid w:val="0003757A"/>
    <w:rsid w:val="00037A50"/>
    <w:rsid w:val="00037B74"/>
    <w:rsid w:val="00037CDA"/>
    <w:rsid w:val="00041379"/>
    <w:rsid w:val="000421A9"/>
    <w:rsid w:val="00042870"/>
    <w:rsid w:val="00042890"/>
    <w:rsid w:val="00042933"/>
    <w:rsid w:val="00042BD0"/>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6ED"/>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8F7"/>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0C6"/>
    <w:rsid w:val="00083DBA"/>
    <w:rsid w:val="000840E9"/>
    <w:rsid w:val="0008420C"/>
    <w:rsid w:val="000852A9"/>
    <w:rsid w:val="000853EC"/>
    <w:rsid w:val="000855E9"/>
    <w:rsid w:val="0008617F"/>
    <w:rsid w:val="000865CB"/>
    <w:rsid w:val="00086938"/>
    <w:rsid w:val="00087851"/>
    <w:rsid w:val="0008786F"/>
    <w:rsid w:val="00090AB1"/>
    <w:rsid w:val="00090C0E"/>
    <w:rsid w:val="000925B1"/>
    <w:rsid w:val="00092781"/>
    <w:rsid w:val="00092A31"/>
    <w:rsid w:val="00092C90"/>
    <w:rsid w:val="0009322D"/>
    <w:rsid w:val="00094654"/>
    <w:rsid w:val="000950C0"/>
    <w:rsid w:val="0009544C"/>
    <w:rsid w:val="00096171"/>
    <w:rsid w:val="000963B3"/>
    <w:rsid w:val="0009727D"/>
    <w:rsid w:val="00097519"/>
    <w:rsid w:val="000A0111"/>
    <w:rsid w:val="000A10D9"/>
    <w:rsid w:val="000A2366"/>
    <w:rsid w:val="000A23F1"/>
    <w:rsid w:val="000A2694"/>
    <w:rsid w:val="000A2F56"/>
    <w:rsid w:val="000A32C0"/>
    <w:rsid w:val="000A39E4"/>
    <w:rsid w:val="000A41C4"/>
    <w:rsid w:val="000A4429"/>
    <w:rsid w:val="000A515F"/>
    <w:rsid w:val="000A518C"/>
    <w:rsid w:val="000A62EB"/>
    <w:rsid w:val="000A6398"/>
    <w:rsid w:val="000A7B6D"/>
    <w:rsid w:val="000B1BC9"/>
    <w:rsid w:val="000B2A11"/>
    <w:rsid w:val="000B30C0"/>
    <w:rsid w:val="000B346E"/>
    <w:rsid w:val="000B3614"/>
    <w:rsid w:val="000B3D53"/>
    <w:rsid w:val="000B3F2D"/>
    <w:rsid w:val="000B66A0"/>
    <w:rsid w:val="000B6D4B"/>
    <w:rsid w:val="000C02EF"/>
    <w:rsid w:val="000C18D1"/>
    <w:rsid w:val="000C202D"/>
    <w:rsid w:val="000C217D"/>
    <w:rsid w:val="000C503D"/>
    <w:rsid w:val="000C5047"/>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265"/>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4B61"/>
    <w:rsid w:val="000F5F59"/>
    <w:rsid w:val="000F6FDB"/>
    <w:rsid w:val="000F71A3"/>
    <w:rsid w:val="000F7A14"/>
    <w:rsid w:val="000F7E0F"/>
    <w:rsid w:val="00100D4D"/>
    <w:rsid w:val="00103D40"/>
    <w:rsid w:val="00104072"/>
    <w:rsid w:val="00104917"/>
    <w:rsid w:val="00105128"/>
    <w:rsid w:val="00105F3E"/>
    <w:rsid w:val="00107190"/>
    <w:rsid w:val="0011002C"/>
    <w:rsid w:val="0011007F"/>
    <w:rsid w:val="00110F6F"/>
    <w:rsid w:val="00111B82"/>
    <w:rsid w:val="00113160"/>
    <w:rsid w:val="0011520F"/>
    <w:rsid w:val="001167C3"/>
    <w:rsid w:val="00116B90"/>
    <w:rsid w:val="00117661"/>
    <w:rsid w:val="0011789B"/>
    <w:rsid w:val="001224AB"/>
    <w:rsid w:val="00122A4D"/>
    <w:rsid w:val="001233EC"/>
    <w:rsid w:val="001242BA"/>
    <w:rsid w:val="0012469E"/>
    <w:rsid w:val="001249A3"/>
    <w:rsid w:val="00125061"/>
    <w:rsid w:val="0012552D"/>
    <w:rsid w:val="0012555D"/>
    <w:rsid w:val="00131F29"/>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0DF6"/>
    <w:rsid w:val="00141151"/>
    <w:rsid w:val="0014117C"/>
    <w:rsid w:val="00141455"/>
    <w:rsid w:val="00143054"/>
    <w:rsid w:val="00143E10"/>
    <w:rsid w:val="001445CF"/>
    <w:rsid w:val="00145ED3"/>
    <w:rsid w:val="001468D8"/>
    <w:rsid w:val="00146B85"/>
    <w:rsid w:val="00147334"/>
    <w:rsid w:val="0015020A"/>
    <w:rsid w:val="001502D6"/>
    <w:rsid w:val="001521FB"/>
    <w:rsid w:val="001527AE"/>
    <w:rsid w:val="00152E57"/>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033"/>
    <w:rsid w:val="001626C3"/>
    <w:rsid w:val="00162BA0"/>
    <w:rsid w:val="0016305B"/>
    <w:rsid w:val="00163282"/>
    <w:rsid w:val="00163974"/>
    <w:rsid w:val="00163D14"/>
    <w:rsid w:val="0016601C"/>
    <w:rsid w:val="0016640D"/>
    <w:rsid w:val="00166898"/>
    <w:rsid w:val="00166EA8"/>
    <w:rsid w:val="00167B7C"/>
    <w:rsid w:val="00170E31"/>
    <w:rsid w:val="001715BC"/>
    <w:rsid w:val="00171767"/>
    <w:rsid w:val="001722F8"/>
    <w:rsid w:val="0017231E"/>
    <w:rsid w:val="001732D6"/>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75B"/>
    <w:rsid w:val="001A79AF"/>
    <w:rsid w:val="001A7B06"/>
    <w:rsid w:val="001B0B8C"/>
    <w:rsid w:val="001B1736"/>
    <w:rsid w:val="001B1875"/>
    <w:rsid w:val="001B23F8"/>
    <w:rsid w:val="001B27FE"/>
    <w:rsid w:val="001B33C2"/>
    <w:rsid w:val="001B5B76"/>
    <w:rsid w:val="001B6DD5"/>
    <w:rsid w:val="001B7C2A"/>
    <w:rsid w:val="001C0CDA"/>
    <w:rsid w:val="001C107D"/>
    <w:rsid w:val="001C1C59"/>
    <w:rsid w:val="001C2012"/>
    <w:rsid w:val="001C3F12"/>
    <w:rsid w:val="001C41CE"/>
    <w:rsid w:val="001C47AD"/>
    <w:rsid w:val="001C5685"/>
    <w:rsid w:val="001C62A0"/>
    <w:rsid w:val="001C6456"/>
    <w:rsid w:val="001C6884"/>
    <w:rsid w:val="001C68E7"/>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12F0"/>
    <w:rsid w:val="001E2330"/>
    <w:rsid w:val="001E2450"/>
    <w:rsid w:val="001E2C72"/>
    <w:rsid w:val="001E3666"/>
    <w:rsid w:val="001E4F1E"/>
    <w:rsid w:val="001E5FD4"/>
    <w:rsid w:val="001E6FE8"/>
    <w:rsid w:val="001E7BCA"/>
    <w:rsid w:val="001F1193"/>
    <w:rsid w:val="001F217F"/>
    <w:rsid w:val="001F28F5"/>
    <w:rsid w:val="001F2FE6"/>
    <w:rsid w:val="001F4117"/>
    <w:rsid w:val="001F49A5"/>
    <w:rsid w:val="001F5312"/>
    <w:rsid w:val="001F5FC3"/>
    <w:rsid w:val="001F62B5"/>
    <w:rsid w:val="001F6BB4"/>
    <w:rsid w:val="001F6D7E"/>
    <w:rsid w:val="001F72E6"/>
    <w:rsid w:val="001F788E"/>
    <w:rsid w:val="00200FB3"/>
    <w:rsid w:val="0020281B"/>
    <w:rsid w:val="00204634"/>
    <w:rsid w:val="00205404"/>
    <w:rsid w:val="0020558E"/>
    <w:rsid w:val="002064CF"/>
    <w:rsid w:val="002073B2"/>
    <w:rsid w:val="00207BA2"/>
    <w:rsid w:val="00210912"/>
    <w:rsid w:val="00210D7A"/>
    <w:rsid w:val="00212574"/>
    <w:rsid w:val="00212D7A"/>
    <w:rsid w:val="00215ACC"/>
    <w:rsid w:val="00215D9F"/>
    <w:rsid w:val="00216DAC"/>
    <w:rsid w:val="002170D5"/>
    <w:rsid w:val="002175AB"/>
    <w:rsid w:val="00222A12"/>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5C57"/>
    <w:rsid w:val="002365D5"/>
    <w:rsid w:val="00236778"/>
    <w:rsid w:val="002368F8"/>
    <w:rsid w:val="00236DF3"/>
    <w:rsid w:val="00236F95"/>
    <w:rsid w:val="00240756"/>
    <w:rsid w:val="00240C78"/>
    <w:rsid w:val="002419FE"/>
    <w:rsid w:val="00242927"/>
    <w:rsid w:val="00242A8D"/>
    <w:rsid w:val="00243047"/>
    <w:rsid w:val="002441E0"/>
    <w:rsid w:val="00245083"/>
    <w:rsid w:val="00245711"/>
    <w:rsid w:val="00245A1B"/>
    <w:rsid w:val="00245D3F"/>
    <w:rsid w:val="0024629B"/>
    <w:rsid w:val="002469A7"/>
    <w:rsid w:val="00246AFC"/>
    <w:rsid w:val="00246D4F"/>
    <w:rsid w:val="00247D1E"/>
    <w:rsid w:val="002509F7"/>
    <w:rsid w:val="00250EDB"/>
    <w:rsid w:val="00251101"/>
    <w:rsid w:val="0025137B"/>
    <w:rsid w:val="00251418"/>
    <w:rsid w:val="00251AFA"/>
    <w:rsid w:val="00251F82"/>
    <w:rsid w:val="00251FCF"/>
    <w:rsid w:val="002520B9"/>
    <w:rsid w:val="00254EF9"/>
    <w:rsid w:val="002557F8"/>
    <w:rsid w:val="00255DE0"/>
    <w:rsid w:val="00255E8B"/>
    <w:rsid w:val="00256504"/>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25C4"/>
    <w:rsid w:val="00266225"/>
    <w:rsid w:val="0027197C"/>
    <w:rsid w:val="00274355"/>
    <w:rsid w:val="00274DFC"/>
    <w:rsid w:val="00275124"/>
    <w:rsid w:val="00275A76"/>
    <w:rsid w:val="00275C56"/>
    <w:rsid w:val="00276DAD"/>
    <w:rsid w:val="002772B4"/>
    <w:rsid w:val="00277580"/>
    <w:rsid w:val="00277653"/>
    <w:rsid w:val="00277E16"/>
    <w:rsid w:val="002804A8"/>
    <w:rsid w:val="002821FB"/>
    <w:rsid w:val="002825AD"/>
    <w:rsid w:val="002831A8"/>
    <w:rsid w:val="00283445"/>
    <w:rsid w:val="0028433D"/>
    <w:rsid w:val="00285363"/>
    <w:rsid w:val="002857F6"/>
    <w:rsid w:val="00285F43"/>
    <w:rsid w:val="00286011"/>
    <w:rsid w:val="00286B79"/>
    <w:rsid w:val="00286C85"/>
    <w:rsid w:val="00287B8C"/>
    <w:rsid w:val="0029069A"/>
    <w:rsid w:val="00290804"/>
    <w:rsid w:val="00290BB0"/>
    <w:rsid w:val="002930C0"/>
    <w:rsid w:val="00293334"/>
    <w:rsid w:val="00293621"/>
    <w:rsid w:val="00293E1F"/>
    <w:rsid w:val="0029542D"/>
    <w:rsid w:val="00295F6D"/>
    <w:rsid w:val="00296175"/>
    <w:rsid w:val="0029669E"/>
    <w:rsid w:val="00296A73"/>
    <w:rsid w:val="00296E90"/>
    <w:rsid w:val="0029713D"/>
    <w:rsid w:val="00297154"/>
    <w:rsid w:val="00297961"/>
    <w:rsid w:val="002A0954"/>
    <w:rsid w:val="002A16C7"/>
    <w:rsid w:val="002A24D6"/>
    <w:rsid w:val="002A29F6"/>
    <w:rsid w:val="002A2BCE"/>
    <w:rsid w:val="002A363C"/>
    <w:rsid w:val="002A3BE4"/>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6E9E"/>
    <w:rsid w:val="002C7C25"/>
    <w:rsid w:val="002D0AA0"/>
    <w:rsid w:val="002D0C33"/>
    <w:rsid w:val="002D1DF8"/>
    <w:rsid w:val="002D1F42"/>
    <w:rsid w:val="002D2918"/>
    <w:rsid w:val="002D3509"/>
    <w:rsid w:val="002D433F"/>
    <w:rsid w:val="002D5081"/>
    <w:rsid w:val="002D605E"/>
    <w:rsid w:val="002D606D"/>
    <w:rsid w:val="002D6398"/>
    <w:rsid w:val="002D683E"/>
    <w:rsid w:val="002E0186"/>
    <w:rsid w:val="002E037E"/>
    <w:rsid w:val="002E0918"/>
    <w:rsid w:val="002E17D7"/>
    <w:rsid w:val="002E28D9"/>
    <w:rsid w:val="002E332D"/>
    <w:rsid w:val="002E3372"/>
    <w:rsid w:val="002E33FA"/>
    <w:rsid w:val="002E3689"/>
    <w:rsid w:val="002E557A"/>
    <w:rsid w:val="002E7FF1"/>
    <w:rsid w:val="002F02C1"/>
    <w:rsid w:val="002F0FA5"/>
    <w:rsid w:val="002F11AB"/>
    <w:rsid w:val="002F2742"/>
    <w:rsid w:val="002F3337"/>
    <w:rsid w:val="002F3B37"/>
    <w:rsid w:val="002F3FBE"/>
    <w:rsid w:val="002F4EF3"/>
    <w:rsid w:val="002F55EC"/>
    <w:rsid w:val="002F7DC3"/>
    <w:rsid w:val="00300D3C"/>
    <w:rsid w:val="00301E28"/>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2763D"/>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0D6D"/>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047A"/>
    <w:rsid w:val="00372C11"/>
    <w:rsid w:val="00373213"/>
    <w:rsid w:val="003734D0"/>
    <w:rsid w:val="003734EB"/>
    <w:rsid w:val="00373734"/>
    <w:rsid w:val="0037407E"/>
    <w:rsid w:val="00374235"/>
    <w:rsid w:val="00375370"/>
    <w:rsid w:val="00375887"/>
    <w:rsid w:val="00375910"/>
    <w:rsid w:val="00375BB4"/>
    <w:rsid w:val="00375C64"/>
    <w:rsid w:val="0037665F"/>
    <w:rsid w:val="003766E9"/>
    <w:rsid w:val="003768A3"/>
    <w:rsid w:val="003769C9"/>
    <w:rsid w:val="003771F3"/>
    <w:rsid w:val="003778A0"/>
    <w:rsid w:val="0038041B"/>
    <w:rsid w:val="003804C8"/>
    <w:rsid w:val="003804DC"/>
    <w:rsid w:val="00381D79"/>
    <w:rsid w:val="0038236F"/>
    <w:rsid w:val="0038293A"/>
    <w:rsid w:val="00382B22"/>
    <w:rsid w:val="00382C6D"/>
    <w:rsid w:val="00382E22"/>
    <w:rsid w:val="003835FA"/>
    <w:rsid w:val="003837F9"/>
    <w:rsid w:val="003839AB"/>
    <w:rsid w:val="003843AE"/>
    <w:rsid w:val="0038454F"/>
    <w:rsid w:val="00385688"/>
    <w:rsid w:val="00386233"/>
    <w:rsid w:val="00386B6A"/>
    <w:rsid w:val="00387874"/>
    <w:rsid w:val="00390483"/>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14D"/>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6159"/>
    <w:rsid w:val="003B7540"/>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2D0E"/>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368CE"/>
    <w:rsid w:val="004406DC"/>
    <w:rsid w:val="00441284"/>
    <w:rsid w:val="00441487"/>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9DC"/>
    <w:rsid w:val="00457C68"/>
    <w:rsid w:val="00460BE3"/>
    <w:rsid w:val="0046108B"/>
    <w:rsid w:val="0046166D"/>
    <w:rsid w:val="00462AC8"/>
    <w:rsid w:val="004638CE"/>
    <w:rsid w:val="00463CA8"/>
    <w:rsid w:val="00463D06"/>
    <w:rsid w:val="004644F4"/>
    <w:rsid w:val="00464911"/>
    <w:rsid w:val="00464B0D"/>
    <w:rsid w:val="00464C88"/>
    <w:rsid w:val="004658FB"/>
    <w:rsid w:val="0046644C"/>
    <w:rsid w:val="0046647C"/>
    <w:rsid w:val="00467B47"/>
    <w:rsid w:val="00467C33"/>
    <w:rsid w:val="00470086"/>
    <w:rsid w:val="00470508"/>
    <w:rsid w:val="00471ACE"/>
    <w:rsid w:val="00473184"/>
    <w:rsid w:val="00475046"/>
    <w:rsid w:val="004767E7"/>
    <w:rsid w:val="00476D15"/>
    <w:rsid w:val="00476EAC"/>
    <w:rsid w:val="00477AB7"/>
    <w:rsid w:val="0048247C"/>
    <w:rsid w:val="00482E54"/>
    <w:rsid w:val="00483C3F"/>
    <w:rsid w:val="00483E64"/>
    <w:rsid w:val="0048421A"/>
    <w:rsid w:val="004848C6"/>
    <w:rsid w:val="00485C28"/>
    <w:rsid w:val="00485E86"/>
    <w:rsid w:val="00486C70"/>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3A2"/>
    <w:rsid w:val="004E47DD"/>
    <w:rsid w:val="004E4FC6"/>
    <w:rsid w:val="004E526F"/>
    <w:rsid w:val="004E5BAA"/>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69C8"/>
    <w:rsid w:val="0050708A"/>
    <w:rsid w:val="00510309"/>
    <w:rsid w:val="005106E1"/>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6346"/>
    <w:rsid w:val="0052719D"/>
    <w:rsid w:val="00527716"/>
    <w:rsid w:val="00527BA1"/>
    <w:rsid w:val="00527E41"/>
    <w:rsid w:val="005313D4"/>
    <w:rsid w:val="005320A9"/>
    <w:rsid w:val="0053273E"/>
    <w:rsid w:val="00532771"/>
    <w:rsid w:val="00532931"/>
    <w:rsid w:val="00533009"/>
    <w:rsid w:val="00533D42"/>
    <w:rsid w:val="0053426E"/>
    <w:rsid w:val="00534364"/>
    <w:rsid w:val="00534A5B"/>
    <w:rsid w:val="005362B8"/>
    <w:rsid w:val="00540F9F"/>
    <w:rsid w:val="00541226"/>
    <w:rsid w:val="00541B40"/>
    <w:rsid w:val="00542D00"/>
    <w:rsid w:val="00543B39"/>
    <w:rsid w:val="00543B3B"/>
    <w:rsid w:val="00544FAB"/>
    <w:rsid w:val="00545DD4"/>
    <w:rsid w:val="00545E78"/>
    <w:rsid w:val="00546DEE"/>
    <w:rsid w:val="0054754D"/>
    <w:rsid w:val="005476EF"/>
    <w:rsid w:val="00547AB7"/>
    <w:rsid w:val="00550780"/>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5E0"/>
    <w:rsid w:val="00564CAC"/>
    <w:rsid w:val="00565648"/>
    <w:rsid w:val="005657AD"/>
    <w:rsid w:val="00566B20"/>
    <w:rsid w:val="00570730"/>
    <w:rsid w:val="005710EA"/>
    <w:rsid w:val="00571DCA"/>
    <w:rsid w:val="005723A5"/>
    <w:rsid w:val="00572BF1"/>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07A"/>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9"/>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B16"/>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4E65"/>
    <w:rsid w:val="00635736"/>
    <w:rsid w:val="00635BC3"/>
    <w:rsid w:val="006374FD"/>
    <w:rsid w:val="0063782B"/>
    <w:rsid w:val="006402F5"/>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8C3"/>
    <w:rsid w:val="00656911"/>
    <w:rsid w:val="00656A3D"/>
    <w:rsid w:val="00656D34"/>
    <w:rsid w:val="0066193F"/>
    <w:rsid w:val="00661CC2"/>
    <w:rsid w:val="00662772"/>
    <w:rsid w:val="00663BE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3FDC"/>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5C98"/>
    <w:rsid w:val="006A6FC9"/>
    <w:rsid w:val="006B0466"/>
    <w:rsid w:val="006B0629"/>
    <w:rsid w:val="006B0CF8"/>
    <w:rsid w:val="006B1166"/>
    <w:rsid w:val="006B3389"/>
    <w:rsid w:val="006B3654"/>
    <w:rsid w:val="006B3894"/>
    <w:rsid w:val="006B39E5"/>
    <w:rsid w:val="006B3E7F"/>
    <w:rsid w:val="006B4B4C"/>
    <w:rsid w:val="006B697C"/>
    <w:rsid w:val="006B6CCB"/>
    <w:rsid w:val="006C0DE3"/>
    <w:rsid w:val="006C1A95"/>
    <w:rsid w:val="006C2587"/>
    <w:rsid w:val="006C25FB"/>
    <w:rsid w:val="006C34E2"/>
    <w:rsid w:val="006C3594"/>
    <w:rsid w:val="006C36D3"/>
    <w:rsid w:val="006C3D22"/>
    <w:rsid w:val="006C44C6"/>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21FB"/>
    <w:rsid w:val="006E2430"/>
    <w:rsid w:val="006E302F"/>
    <w:rsid w:val="006E37A8"/>
    <w:rsid w:val="006E50E8"/>
    <w:rsid w:val="006E6108"/>
    <w:rsid w:val="006E655D"/>
    <w:rsid w:val="006E6824"/>
    <w:rsid w:val="006E6E17"/>
    <w:rsid w:val="006E7A3D"/>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2848"/>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56D5"/>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1E6"/>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48F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289"/>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4E7"/>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26DB"/>
    <w:rsid w:val="00803AAF"/>
    <w:rsid w:val="00803BDB"/>
    <w:rsid w:val="008041B1"/>
    <w:rsid w:val="00804B4D"/>
    <w:rsid w:val="008053C7"/>
    <w:rsid w:val="008064CB"/>
    <w:rsid w:val="008069AF"/>
    <w:rsid w:val="008112A3"/>
    <w:rsid w:val="0081229F"/>
    <w:rsid w:val="008128CB"/>
    <w:rsid w:val="008134F9"/>
    <w:rsid w:val="00813F1D"/>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365"/>
    <w:rsid w:val="008355A5"/>
    <w:rsid w:val="008355C1"/>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4D4"/>
    <w:rsid w:val="00851D83"/>
    <w:rsid w:val="00852A45"/>
    <w:rsid w:val="008531B4"/>
    <w:rsid w:val="00853258"/>
    <w:rsid w:val="0085329C"/>
    <w:rsid w:val="00853BC5"/>
    <w:rsid w:val="00853DA8"/>
    <w:rsid w:val="00855870"/>
    <w:rsid w:val="00856018"/>
    <w:rsid w:val="008566C3"/>
    <w:rsid w:val="00856A09"/>
    <w:rsid w:val="00857856"/>
    <w:rsid w:val="0086001E"/>
    <w:rsid w:val="00860E8B"/>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2F73"/>
    <w:rsid w:val="00883642"/>
    <w:rsid w:val="00883854"/>
    <w:rsid w:val="0088411F"/>
    <w:rsid w:val="00884C57"/>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67E"/>
    <w:rsid w:val="00895EA2"/>
    <w:rsid w:val="00896A3E"/>
    <w:rsid w:val="0089781A"/>
    <w:rsid w:val="008A0DD4"/>
    <w:rsid w:val="008A278A"/>
    <w:rsid w:val="008A4807"/>
    <w:rsid w:val="008A5AEC"/>
    <w:rsid w:val="008A6CB0"/>
    <w:rsid w:val="008A6E44"/>
    <w:rsid w:val="008A6F7B"/>
    <w:rsid w:val="008A7431"/>
    <w:rsid w:val="008A7682"/>
    <w:rsid w:val="008B00C9"/>
    <w:rsid w:val="008B025F"/>
    <w:rsid w:val="008B0D4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262"/>
    <w:rsid w:val="008E1539"/>
    <w:rsid w:val="008E17BC"/>
    <w:rsid w:val="008E4C7E"/>
    <w:rsid w:val="008E4D46"/>
    <w:rsid w:val="008E4EB7"/>
    <w:rsid w:val="008E5FF5"/>
    <w:rsid w:val="008E63E8"/>
    <w:rsid w:val="008E6480"/>
    <w:rsid w:val="008E7703"/>
    <w:rsid w:val="008F1217"/>
    <w:rsid w:val="008F1D9B"/>
    <w:rsid w:val="008F2842"/>
    <w:rsid w:val="008F3481"/>
    <w:rsid w:val="008F36AD"/>
    <w:rsid w:val="008F4533"/>
    <w:rsid w:val="008F6265"/>
    <w:rsid w:val="008F67C9"/>
    <w:rsid w:val="008F7CAD"/>
    <w:rsid w:val="008F7E35"/>
    <w:rsid w:val="009002E9"/>
    <w:rsid w:val="00901A20"/>
    <w:rsid w:val="0090226B"/>
    <w:rsid w:val="009027E8"/>
    <w:rsid w:val="00902CE4"/>
    <w:rsid w:val="00903373"/>
    <w:rsid w:val="009038E3"/>
    <w:rsid w:val="00903BAB"/>
    <w:rsid w:val="0090495B"/>
    <w:rsid w:val="00905648"/>
    <w:rsid w:val="00905CD7"/>
    <w:rsid w:val="00905FD1"/>
    <w:rsid w:val="009065CD"/>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5FF"/>
    <w:rsid w:val="0093192D"/>
    <w:rsid w:val="00931A94"/>
    <w:rsid w:val="00931FDD"/>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0FF"/>
    <w:rsid w:val="009522CF"/>
    <w:rsid w:val="009526B4"/>
    <w:rsid w:val="00953812"/>
    <w:rsid w:val="00953BAB"/>
    <w:rsid w:val="00954125"/>
    <w:rsid w:val="00956127"/>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A9E"/>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478"/>
    <w:rsid w:val="009E2AD2"/>
    <w:rsid w:val="009E2B50"/>
    <w:rsid w:val="009E4D8C"/>
    <w:rsid w:val="009E5045"/>
    <w:rsid w:val="009E54BB"/>
    <w:rsid w:val="009E640A"/>
    <w:rsid w:val="009E6ACA"/>
    <w:rsid w:val="009E6B5D"/>
    <w:rsid w:val="009E78DE"/>
    <w:rsid w:val="009F021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3BF"/>
    <w:rsid w:val="00A16955"/>
    <w:rsid w:val="00A16B40"/>
    <w:rsid w:val="00A173A3"/>
    <w:rsid w:val="00A176CB"/>
    <w:rsid w:val="00A22532"/>
    <w:rsid w:val="00A22A8D"/>
    <w:rsid w:val="00A22E80"/>
    <w:rsid w:val="00A2306E"/>
    <w:rsid w:val="00A2320A"/>
    <w:rsid w:val="00A23CA4"/>
    <w:rsid w:val="00A24207"/>
    <w:rsid w:val="00A24740"/>
    <w:rsid w:val="00A277AE"/>
    <w:rsid w:val="00A27991"/>
    <w:rsid w:val="00A30096"/>
    <w:rsid w:val="00A30C33"/>
    <w:rsid w:val="00A317F1"/>
    <w:rsid w:val="00A31D6A"/>
    <w:rsid w:val="00A31ED6"/>
    <w:rsid w:val="00A3567F"/>
    <w:rsid w:val="00A356D0"/>
    <w:rsid w:val="00A35A05"/>
    <w:rsid w:val="00A36F5F"/>
    <w:rsid w:val="00A374E3"/>
    <w:rsid w:val="00A37699"/>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6C92"/>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5E1E"/>
    <w:rsid w:val="00AB7460"/>
    <w:rsid w:val="00AB74E8"/>
    <w:rsid w:val="00AB77CA"/>
    <w:rsid w:val="00AC0661"/>
    <w:rsid w:val="00AC0DD1"/>
    <w:rsid w:val="00AC2066"/>
    <w:rsid w:val="00AC269E"/>
    <w:rsid w:val="00AC2EFE"/>
    <w:rsid w:val="00AC33A5"/>
    <w:rsid w:val="00AC47F3"/>
    <w:rsid w:val="00AC56E1"/>
    <w:rsid w:val="00AC5EDC"/>
    <w:rsid w:val="00AC66C7"/>
    <w:rsid w:val="00AC6CDE"/>
    <w:rsid w:val="00AC6DA3"/>
    <w:rsid w:val="00AC7E76"/>
    <w:rsid w:val="00AD074B"/>
    <w:rsid w:val="00AD07D0"/>
    <w:rsid w:val="00AD1745"/>
    <w:rsid w:val="00AD18D7"/>
    <w:rsid w:val="00AD355C"/>
    <w:rsid w:val="00AD424B"/>
    <w:rsid w:val="00AD426A"/>
    <w:rsid w:val="00AD4491"/>
    <w:rsid w:val="00AD4D2A"/>
    <w:rsid w:val="00AD5366"/>
    <w:rsid w:val="00AD57C3"/>
    <w:rsid w:val="00AD5B33"/>
    <w:rsid w:val="00AD6030"/>
    <w:rsid w:val="00AD610F"/>
    <w:rsid w:val="00AD6998"/>
    <w:rsid w:val="00AD6AF4"/>
    <w:rsid w:val="00AD7197"/>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327"/>
    <w:rsid w:val="00B324C6"/>
    <w:rsid w:val="00B3259A"/>
    <w:rsid w:val="00B32D28"/>
    <w:rsid w:val="00B342F0"/>
    <w:rsid w:val="00B3497C"/>
    <w:rsid w:val="00B349F1"/>
    <w:rsid w:val="00B34FA5"/>
    <w:rsid w:val="00B352E1"/>
    <w:rsid w:val="00B358B2"/>
    <w:rsid w:val="00B35FA8"/>
    <w:rsid w:val="00B36789"/>
    <w:rsid w:val="00B37384"/>
    <w:rsid w:val="00B37732"/>
    <w:rsid w:val="00B40109"/>
    <w:rsid w:val="00B40E7D"/>
    <w:rsid w:val="00B40FFA"/>
    <w:rsid w:val="00B4300D"/>
    <w:rsid w:val="00B43609"/>
    <w:rsid w:val="00B44BFC"/>
    <w:rsid w:val="00B46A2D"/>
    <w:rsid w:val="00B46CA4"/>
    <w:rsid w:val="00B47A13"/>
    <w:rsid w:val="00B47E57"/>
    <w:rsid w:val="00B50E6E"/>
    <w:rsid w:val="00B50F3D"/>
    <w:rsid w:val="00B51223"/>
    <w:rsid w:val="00B51777"/>
    <w:rsid w:val="00B517AD"/>
    <w:rsid w:val="00B51FB8"/>
    <w:rsid w:val="00B529A3"/>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ADF"/>
    <w:rsid w:val="00B60B5D"/>
    <w:rsid w:val="00B60F97"/>
    <w:rsid w:val="00B618B3"/>
    <w:rsid w:val="00B622EE"/>
    <w:rsid w:val="00B63087"/>
    <w:rsid w:val="00B6376D"/>
    <w:rsid w:val="00B63CB8"/>
    <w:rsid w:val="00B64F03"/>
    <w:rsid w:val="00B64F07"/>
    <w:rsid w:val="00B65F1E"/>
    <w:rsid w:val="00B662DA"/>
    <w:rsid w:val="00B66D33"/>
    <w:rsid w:val="00B706FC"/>
    <w:rsid w:val="00B7094B"/>
    <w:rsid w:val="00B70A8F"/>
    <w:rsid w:val="00B70F2C"/>
    <w:rsid w:val="00B71284"/>
    <w:rsid w:val="00B715B0"/>
    <w:rsid w:val="00B71A74"/>
    <w:rsid w:val="00B7318B"/>
    <w:rsid w:val="00B7405B"/>
    <w:rsid w:val="00B7600A"/>
    <w:rsid w:val="00B76468"/>
    <w:rsid w:val="00B76510"/>
    <w:rsid w:val="00B769EA"/>
    <w:rsid w:val="00B80735"/>
    <w:rsid w:val="00B81391"/>
    <w:rsid w:val="00B81EB9"/>
    <w:rsid w:val="00B82B0B"/>
    <w:rsid w:val="00B83338"/>
    <w:rsid w:val="00B83752"/>
    <w:rsid w:val="00B842EB"/>
    <w:rsid w:val="00B85C96"/>
    <w:rsid w:val="00B85F40"/>
    <w:rsid w:val="00B862F9"/>
    <w:rsid w:val="00B86D97"/>
    <w:rsid w:val="00B870B6"/>
    <w:rsid w:val="00B872F7"/>
    <w:rsid w:val="00B87D92"/>
    <w:rsid w:val="00B90604"/>
    <w:rsid w:val="00B922AE"/>
    <w:rsid w:val="00B925C8"/>
    <w:rsid w:val="00B93790"/>
    <w:rsid w:val="00B94904"/>
    <w:rsid w:val="00B95096"/>
    <w:rsid w:val="00B95274"/>
    <w:rsid w:val="00B96897"/>
    <w:rsid w:val="00B96FD1"/>
    <w:rsid w:val="00B9730E"/>
    <w:rsid w:val="00BA0E2E"/>
    <w:rsid w:val="00BA0E5B"/>
    <w:rsid w:val="00BA175A"/>
    <w:rsid w:val="00BA1FF0"/>
    <w:rsid w:val="00BA2101"/>
    <w:rsid w:val="00BA370A"/>
    <w:rsid w:val="00BA3995"/>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40A"/>
    <w:rsid w:val="00BC46CA"/>
    <w:rsid w:val="00BC63E4"/>
    <w:rsid w:val="00BC69C8"/>
    <w:rsid w:val="00BC6E37"/>
    <w:rsid w:val="00BD03F6"/>
    <w:rsid w:val="00BD0E50"/>
    <w:rsid w:val="00BD12B0"/>
    <w:rsid w:val="00BD1C1F"/>
    <w:rsid w:val="00BD2921"/>
    <w:rsid w:val="00BD3651"/>
    <w:rsid w:val="00BD6E55"/>
    <w:rsid w:val="00BD794C"/>
    <w:rsid w:val="00BE0BC7"/>
    <w:rsid w:val="00BE10A5"/>
    <w:rsid w:val="00BE1AE3"/>
    <w:rsid w:val="00BE3468"/>
    <w:rsid w:val="00BE3535"/>
    <w:rsid w:val="00BE3B58"/>
    <w:rsid w:val="00BE3CDB"/>
    <w:rsid w:val="00BE5400"/>
    <w:rsid w:val="00BE54A1"/>
    <w:rsid w:val="00BE6DBB"/>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4B8"/>
    <w:rsid w:val="00BF79FB"/>
    <w:rsid w:val="00BF7D8E"/>
    <w:rsid w:val="00C0050B"/>
    <w:rsid w:val="00C01162"/>
    <w:rsid w:val="00C019E5"/>
    <w:rsid w:val="00C01EFE"/>
    <w:rsid w:val="00C029A5"/>
    <w:rsid w:val="00C029FB"/>
    <w:rsid w:val="00C03372"/>
    <w:rsid w:val="00C036B7"/>
    <w:rsid w:val="00C03E8F"/>
    <w:rsid w:val="00C055DB"/>
    <w:rsid w:val="00C05D95"/>
    <w:rsid w:val="00C0781D"/>
    <w:rsid w:val="00C07C16"/>
    <w:rsid w:val="00C1026E"/>
    <w:rsid w:val="00C107A8"/>
    <w:rsid w:val="00C10EBF"/>
    <w:rsid w:val="00C127AA"/>
    <w:rsid w:val="00C12F66"/>
    <w:rsid w:val="00C133C5"/>
    <w:rsid w:val="00C1348E"/>
    <w:rsid w:val="00C1482C"/>
    <w:rsid w:val="00C14FE7"/>
    <w:rsid w:val="00C15446"/>
    <w:rsid w:val="00C15B8F"/>
    <w:rsid w:val="00C164E4"/>
    <w:rsid w:val="00C17035"/>
    <w:rsid w:val="00C208C2"/>
    <w:rsid w:val="00C20AD3"/>
    <w:rsid w:val="00C20C71"/>
    <w:rsid w:val="00C2209C"/>
    <w:rsid w:val="00C236AB"/>
    <w:rsid w:val="00C26F6F"/>
    <w:rsid w:val="00C27006"/>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29FD"/>
    <w:rsid w:val="00C4308D"/>
    <w:rsid w:val="00C4597B"/>
    <w:rsid w:val="00C46635"/>
    <w:rsid w:val="00C474FE"/>
    <w:rsid w:val="00C501BD"/>
    <w:rsid w:val="00C50EE9"/>
    <w:rsid w:val="00C51706"/>
    <w:rsid w:val="00C52C1A"/>
    <w:rsid w:val="00C53167"/>
    <w:rsid w:val="00C53CF9"/>
    <w:rsid w:val="00C55046"/>
    <w:rsid w:val="00C5530F"/>
    <w:rsid w:val="00C60C9A"/>
    <w:rsid w:val="00C6137F"/>
    <w:rsid w:val="00C61549"/>
    <w:rsid w:val="00C619DE"/>
    <w:rsid w:val="00C625C1"/>
    <w:rsid w:val="00C64DD8"/>
    <w:rsid w:val="00C654F5"/>
    <w:rsid w:val="00C65F62"/>
    <w:rsid w:val="00C66ABC"/>
    <w:rsid w:val="00C66BDC"/>
    <w:rsid w:val="00C67C5B"/>
    <w:rsid w:val="00C67E31"/>
    <w:rsid w:val="00C70F09"/>
    <w:rsid w:val="00C713D2"/>
    <w:rsid w:val="00C71847"/>
    <w:rsid w:val="00C7222B"/>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23D"/>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037B"/>
    <w:rsid w:val="00CB1262"/>
    <w:rsid w:val="00CB1C1B"/>
    <w:rsid w:val="00CB28E2"/>
    <w:rsid w:val="00CB3887"/>
    <w:rsid w:val="00CB3910"/>
    <w:rsid w:val="00CB41B6"/>
    <w:rsid w:val="00CB4EC8"/>
    <w:rsid w:val="00CB55C9"/>
    <w:rsid w:val="00CB5C98"/>
    <w:rsid w:val="00CB5EF8"/>
    <w:rsid w:val="00CB5FCE"/>
    <w:rsid w:val="00CB66C1"/>
    <w:rsid w:val="00CB6988"/>
    <w:rsid w:val="00CB6B29"/>
    <w:rsid w:val="00CB7D93"/>
    <w:rsid w:val="00CB7FF3"/>
    <w:rsid w:val="00CC01E5"/>
    <w:rsid w:val="00CC0315"/>
    <w:rsid w:val="00CC1172"/>
    <w:rsid w:val="00CC17D4"/>
    <w:rsid w:val="00CC2072"/>
    <w:rsid w:val="00CC2183"/>
    <w:rsid w:val="00CC3D1B"/>
    <w:rsid w:val="00CC4344"/>
    <w:rsid w:val="00CC4395"/>
    <w:rsid w:val="00CC4502"/>
    <w:rsid w:val="00CC48F2"/>
    <w:rsid w:val="00CC5A56"/>
    <w:rsid w:val="00CC7C7C"/>
    <w:rsid w:val="00CC7EB5"/>
    <w:rsid w:val="00CD0193"/>
    <w:rsid w:val="00CD031E"/>
    <w:rsid w:val="00CD05E1"/>
    <w:rsid w:val="00CD0ADC"/>
    <w:rsid w:val="00CD2262"/>
    <w:rsid w:val="00CD3159"/>
    <w:rsid w:val="00CD38AC"/>
    <w:rsid w:val="00CD3EA3"/>
    <w:rsid w:val="00CD43FB"/>
    <w:rsid w:val="00CD4986"/>
    <w:rsid w:val="00CD5294"/>
    <w:rsid w:val="00CD5861"/>
    <w:rsid w:val="00CD62BF"/>
    <w:rsid w:val="00CD6FBE"/>
    <w:rsid w:val="00CD70B0"/>
    <w:rsid w:val="00CD725A"/>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6805"/>
    <w:rsid w:val="00D07184"/>
    <w:rsid w:val="00D077DC"/>
    <w:rsid w:val="00D0789F"/>
    <w:rsid w:val="00D07A32"/>
    <w:rsid w:val="00D10A53"/>
    <w:rsid w:val="00D10F52"/>
    <w:rsid w:val="00D111A4"/>
    <w:rsid w:val="00D14EAC"/>
    <w:rsid w:val="00D15423"/>
    <w:rsid w:val="00D157E2"/>
    <w:rsid w:val="00D15B4E"/>
    <w:rsid w:val="00D15DD8"/>
    <w:rsid w:val="00D16372"/>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2F4C"/>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5A6A"/>
    <w:rsid w:val="00D46AC6"/>
    <w:rsid w:val="00D5012B"/>
    <w:rsid w:val="00D50615"/>
    <w:rsid w:val="00D508D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53F"/>
    <w:rsid w:val="00D677BE"/>
    <w:rsid w:val="00D67B27"/>
    <w:rsid w:val="00D67F3C"/>
    <w:rsid w:val="00D70DA5"/>
    <w:rsid w:val="00D70DFB"/>
    <w:rsid w:val="00D75514"/>
    <w:rsid w:val="00D757DB"/>
    <w:rsid w:val="00D7684F"/>
    <w:rsid w:val="00D80C4E"/>
    <w:rsid w:val="00D81F16"/>
    <w:rsid w:val="00D840C1"/>
    <w:rsid w:val="00D84E7E"/>
    <w:rsid w:val="00D85C7F"/>
    <w:rsid w:val="00D872F9"/>
    <w:rsid w:val="00D90297"/>
    <w:rsid w:val="00D906DD"/>
    <w:rsid w:val="00D9072C"/>
    <w:rsid w:val="00D90E0E"/>
    <w:rsid w:val="00D916F9"/>
    <w:rsid w:val="00D921FE"/>
    <w:rsid w:val="00D93988"/>
    <w:rsid w:val="00D93D8F"/>
    <w:rsid w:val="00D94246"/>
    <w:rsid w:val="00D959D5"/>
    <w:rsid w:val="00D95CF8"/>
    <w:rsid w:val="00D97241"/>
    <w:rsid w:val="00DA05EF"/>
    <w:rsid w:val="00DA07C7"/>
    <w:rsid w:val="00DA0909"/>
    <w:rsid w:val="00DA208B"/>
    <w:rsid w:val="00DA2368"/>
    <w:rsid w:val="00DA2C35"/>
    <w:rsid w:val="00DA4E01"/>
    <w:rsid w:val="00DA4F61"/>
    <w:rsid w:val="00DA5144"/>
    <w:rsid w:val="00DA6EF1"/>
    <w:rsid w:val="00DA77DA"/>
    <w:rsid w:val="00DA7E5A"/>
    <w:rsid w:val="00DB1962"/>
    <w:rsid w:val="00DB19DC"/>
    <w:rsid w:val="00DB21BB"/>
    <w:rsid w:val="00DB2A9F"/>
    <w:rsid w:val="00DB30B0"/>
    <w:rsid w:val="00DB3626"/>
    <w:rsid w:val="00DB3BFF"/>
    <w:rsid w:val="00DB3D95"/>
    <w:rsid w:val="00DB40CC"/>
    <w:rsid w:val="00DB414E"/>
    <w:rsid w:val="00DB418F"/>
    <w:rsid w:val="00DB6024"/>
    <w:rsid w:val="00DB6EC9"/>
    <w:rsid w:val="00DB6EE9"/>
    <w:rsid w:val="00DC124B"/>
    <w:rsid w:val="00DC402E"/>
    <w:rsid w:val="00DC4FBA"/>
    <w:rsid w:val="00DC5D1B"/>
    <w:rsid w:val="00DC5D37"/>
    <w:rsid w:val="00DC6874"/>
    <w:rsid w:val="00DC6A61"/>
    <w:rsid w:val="00DC6F60"/>
    <w:rsid w:val="00DC7365"/>
    <w:rsid w:val="00DD2247"/>
    <w:rsid w:val="00DD22B5"/>
    <w:rsid w:val="00DD330A"/>
    <w:rsid w:val="00DD3449"/>
    <w:rsid w:val="00DD4635"/>
    <w:rsid w:val="00DD464B"/>
    <w:rsid w:val="00DD4FDA"/>
    <w:rsid w:val="00DD5A31"/>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29E"/>
    <w:rsid w:val="00DE7D95"/>
    <w:rsid w:val="00DF041B"/>
    <w:rsid w:val="00DF0D5D"/>
    <w:rsid w:val="00DF0E35"/>
    <w:rsid w:val="00DF1120"/>
    <w:rsid w:val="00DF27FC"/>
    <w:rsid w:val="00DF3124"/>
    <w:rsid w:val="00DF36AB"/>
    <w:rsid w:val="00DF43CC"/>
    <w:rsid w:val="00DF44AD"/>
    <w:rsid w:val="00DF4687"/>
    <w:rsid w:val="00DF4E6F"/>
    <w:rsid w:val="00DF59A6"/>
    <w:rsid w:val="00DF6965"/>
    <w:rsid w:val="00DF7746"/>
    <w:rsid w:val="00E00512"/>
    <w:rsid w:val="00E005B5"/>
    <w:rsid w:val="00E0066F"/>
    <w:rsid w:val="00E0123D"/>
    <w:rsid w:val="00E012B4"/>
    <w:rsid w:val="00E03E3F"/>
    <w:rsid w:val="00E040E6"/>
    <w:rsid w:val="00E04F2C"/>
    <w:rsid w:val="00E05523"/>
    <w:rsid w:val="00E05EFB"/>
    <w:rsid w:val="00E06214"/>
    <w:rsid w:val="00E06E0E"/>
    <w:rsid w:val="00E06E72"/>
    <w:rsid w:val="00E07FF3"/>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299D"/>
    <w:rsid w:val="00E334F7"/>
    <w:rsid w:val="00E33536"/>
    <w:rsid w:val="00E336CC"/>
    <w:rsid w:val="00E33878"/>
    <w:rsid w:val="00E34978"/>
    <w:rsid w:val="00E353C1"/>
    <w:rsid w:val="00E3567E"/>
    <w:rsid w:val="00E35A7A"/>
    <w:rsid w:val="00E36D42"/>
    <w:rsid w:val="00E41315"/>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950"/>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5D07"/>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211"/>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2871"/>
    <w:rsid w:val="00EF41CC"/>
    <w:rsid w:val="00EF60B5"/>
    <w:rsid w:val="00EF6B6E"/>
    <w:rsid w:val="00EF6D34"/>
    <w:rsid w:val="00EF7141"/>
    <w:rsid w:val="00EF7CCD"/>
    <w:rsid w:val="00EF7F09"/>
    <w:rsid w:val="00F00FF0"/>
    <w:rsid w:val="00F01649"/>
    <w:rsid w:val="00F017F7"/>
    <w:rsid w:val="00F01B98"/>
    <w:rsid w:val="00F0213B"/>
    <w:rsid w:val="00F0273F"/>
    <w:rsid w:val="00F02882"/>
    <w:rsid w:val="00F02AF2"/>
    <w:rsid w:val="00F03484"/>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4E66"/>
    <w:rsid w:val="00F45741"/>
    <w:rsid w:val="00F45D4F"/>
    <w:rsid w:val="00F46461"/>
    <w:rsid w:val="00F464C5"/>
    <w:rsid w:val="00F46B27"/>
    <w:rsid w:val="00F46D77"/>
    <w:rsid w:val="00F47B3C"/>
    <w:rsid w:val="00F47E8F"/>
    <w:rsid w:val="00F50126"/>
    <w:rsid w:val="00F512CA"/>
    <w:rsid w:val="00F52681"/>
    <w:rsid w:val="00F526F4"/>
    <w:rsid w:val="00F536BB"/>
    <w:rsid w:val="00F53798"/>
    <w:rsid w:val="00F54950"/>
    <w:rsid w:val="00F552A2"/>
    <w:rsid w:val="00F60D0F"/>
    <w:rsid w:val="00F626DC"/>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5B06"/>
    <w:rsid w:val="00F77353"/>
    <w:rsid w:val="00F80E6E"/>
    <w:rsid w:val="00F80FB6"/>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87247"/>
    <w:rsid w:val="00F912D3"/>
    <w:rsid w:val="00F946BD"/>
    <w:rsid w:val="00F958EE"/>
    <w:rsid w:val="00F95B4D"/>
    <w:rsid w:val="00F95D05"/>
    <w:rsid w:val="00F965D2"/>
    <w:rsid w:val="00F96A78"/>
    <w:rsid w:val="00F96AC8"/>
    <w:rsid w:val="00F97C5A"/>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28FC"/>
    <w:rsid w:val="00FB3626"/>
    <w:rsid w:val="00FB3AFC"/>
    <w:rsid w:val="00FB44EC"/>
    <w:rsid w:val="00FB4AF0"/>
    <w:rsid w:val="00FB4EE2"/>
    <w:rsid w:val="00FB5366"/>
    <w:rsid w:val="00FB5A38"/>
    <w:rsid w:val="00FB5E72"/>
    <w:rsid w:val="00FB62CF"/>
    <w:rsid w:val="00FB7EFC"/>
    <w:rsid w:val="00FC04BB"/>
    <w:rsid w:val="00FC0552"/>
    <w:rsid w:val="00FC23A7"/>
    <w:rsid w:val="00FC2BC7"/>
    <w:rsid w:val="00FC356D"/>
    <w:rsid w:val="00FC3BBC"/>
    <w:rsid w:val="00FC4209"/>
    <w:rsid w:val="00FC420F"/>
    <w:rsid w:val="00FC428F"/>
    <w:rsid w:val="00FC4C65"/>
    <w:rsid w:val="00FC51C8"/>
    <w:rsid w:val="00FC5D1A"/>
    <w:rsid w:val="00FC605D"/>
    <w:rsid w:val="00FC63B0"/>
    <w:rsid w:val="00FC63B9"/>
    <w:rsid w:val="00FC6CC7"/>
    <w:rsid w:val="00FC6CFC"/>
    <w:rsid w:val="00FC78BB"/>
    <w:rsid w:val="00FC7961"/>
    <w:rsid w:val="00FD0959"/>
    <w:rsid w:val="00FD0B0E"/>
    <w:rsid w:val="00FD0FB3"/>
    <w:rsid w:val="00FD1014"/>
    <w:rsid w:val="00FD10D0"/>
    <w:rsid w:val="00FD1787"/>
    <w:rsid w:val="00FD18E2"/>
    <w:rsid w:val="00FD1D5C"/>
    <w:rsid w:val="00FD2036"/>
    <w:rsid w:val="00FD25D5"/>
    <w:rsid w:val="00FD26E4"/>
    <w:rsid w:val="00FD36D6"/>
    <w:rsid w:val="00FD37BC"/>
    <w:rsid w:val="00FD3CCF"/>
    <w:rsid w:val="00FD453D"/>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D10"/>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004CCE"/>
  <w15:docId w15:val="{9D31CEC2-6A16-4B72-9A8E-CF494F87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uiPriority w:val="99"/>
    <w:qFormat/>
    <w:rsid w:val="007E5E69"/>
    <w:rPr>
      <w:rFonts w:ascii="Gill Sans" w:eastAsia="Times New Roman" w:hAnsi="Gill Sans" w:cs="Times New Roman"/>
      <w:sz w:val="16"/>
    </w:rPr>
  </w:style>
  <w:style w:type="character" w:customStyle="1" w:styleId="EndnoteTextChar">
    <w:name w:val="Endnote Text Char"/>
    <w:basedOn w:val="DefaultParagraphFont"/>
    <w:link w:val="EndnoteText"/>
    <w:uiPriority w:val="99"/>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styleId="NormalWeb">
    <w:name w:val="Normal (Web)"/>
    <w:basedOn w:val="Normal"/>
    <w:uiPriority w:val="99"/>
    <w:semiHidden/>
    <w:unhideWhenUsed/>
    <w:rsid w:val="00AD7197"/>
    <w:pPr>
      <w:spacing w:before="100" w:beforeAutospacing="1" w:after="100" w:afterAutospacing="1"/>
    </w:pPr>
    <w:rPr>
      <w:rFonts w:ascii="Times New Roman" w:hAnsi="Times New Roman" w:cs="Times New Roman"/>
      <w:sz w:val="24"/>
    </w:rPr>
  </w:style>
  <w:style w:type="character" w:styleId="EndnoteReference">
    <w:name w:val="endnote reference"/>
    <w:basedOn w:val="DefaultParagraphFont"/>
    <w:uiPriority w:val="99"/>
    <w:unhideWhenUsed/>
    <w:rsid w:val="00526346"/>
    <w:rPr>
      <w:vertAlign w:val="superscript"/>
    </w:rPr>
  </w:style>
  <w:style w:type="paragraph" w:customStyle="1" w:styleId="Default">
    <w:name w:val="Default"/>
    <w:rsid w:val="00B60ADF"/>
    <w:pPr>
      <w:widowControl w:val="0"/>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rsid w:val="002E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7243">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1338583826">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2022-08-18T04:00:00+00:00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2024-01-31T05:00:00+00:00</Document_x0020_Coverage_x0020_Period_x0020_End_x0020_Date>
    <Project_x0020_Number xmlns="f1161f5b-24a3-4c2d-bc81-44cb9325e8ee" xsi:nil="true"/>
    <Project_x0020_Manager xmlns="f1161f5b-24a3-4c2d-bc81-44cb9325e8ee" xsi:nil="true"/>
    <TaxCatchAll xmlns="1ed4137b-41b2-488b-8250-6d369ec27664">
      <Value>1189</Value>
      <Value>1141</Value>
      <Value>1</Value>
      <Value>763</Value>
    </TaxCatchAll>
    <c4e2ab2cc9354bbf9064eeb465a566ea xmlns="1ed4137b-41b2-488b-8250-6d369ec27664">
      <Terms xmlns="http://schemas.microsoft.com/office/infopath/2007/PartnerControls"/>
    </c4e2ab2cc9354bbf9064eeb465a566ea>
    <UndpProjectNo xmlns="1ed4137b-41b2-488b-8250-6d369ec27664">00117353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ATLASPDC-4-164059</_dlc_DocId>
    <_dlc_DocIdUrl xmlns="f1161f5b-24a3-4c2d-bc81-44cb9325e8ee">
      <Url>https://info.undp.org/docs/pdc/_layouts/DocIdRedir.aspx?ID=ATLASPDC-4-164059</Url>
      <Description>ATLASPDC-4-164059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145CA7-FAC6-4463-B233-E6C8BE5216DC}">
  <ds:schemaRefs>
    <ds:schemaRef ds:uri="http://schemas.openxmlformats.org/officeDocument/2006/bibliography"/>
  </ds:schemaRefs>
</ds:datastoreItem>
</file>

<file path=customXml/itemProps2.xml><?xml version="1.0" encoding="utf-8"?>
<ds:datastoreItem xmlns:ds="http://schemas.openxmlformats.org/officeDocument/2006/customXml" ds:itemID="{EBD71D71-9AE8-42A8-9528-61E3B0450FBC}"/>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s>
</ds:datastoreItem>
</file>

<file path=customXml/itemProps4.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5.xml><?xml version="1.0" encoding="utf-8"?>
<ds:datastoreItem xmlns:ds="http://schemas.openxmlformats.org/officeDocument/2006/customXml" ds:itemID="{6EC4CB91-50A8-47BA-B64E-C99298CDA8F7}"/>
</file>

<file path=customXml/itemProps6.xml><?xml version="1.0" encoding="utf-8"?>
<ds:datastoreItem xmlns:ds="http://schemas.openxmlformats.org/officeDocument/2006/customXml" ds:itemID="{968FE881-E53F-44D0-B586-698726B7B2EC}"/>
</file>

<file path=docProps/app.xml><?xml version="1.0" encoding="utf-8"?>
<Properties xmlns="http://schemas.openxmlformats.org/officeDocument/2006/extended-properties" xmlns:vt="http://schemas.openxmlformats.org/officeDocument/2006/docPropsVTypes">
  <Template>Normal</Template>
  <TotalTime>1</TotalTime>
  <Pages>1</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Toshiba</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of GEF VI</dc:title>
  <dc:subject/>
  <dc:creator>Bruce Jenkins</dc:creator>
  <cp:lastModifiedBy>Ramitha Wijethunga</cp:lastModifiedBy>
  <cp:revision>2</cp:revision>
  <cp:lastPrinted>2018-12-30T10:45:00Z</cp:lastPrinted>
  <dcterms:created xsi:type="dcterms:W3CDTF">2022-07-08T05:35:00Z</dcterms:created>
  <dcterms:modified xsi:type="dcterms:W3CDTF">2022-07-08T05:35:00Z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1141;#LKA|deec9dc2-96dc-4d5a-99c7-854fd22f8c85</vt:lpwstr>
  </property>
  <property fmtid="{D5CDD505-2E9C-101B-9397-08002B2CF9AE}" pid="8" name="Atlas Document Status">
    <vt:lpwstr>763;#Draft|121d40a5-e62e-4d42-82e4-d6d12003de0a</vt:lpwstr>
  </property>
  <property fmtid="{D5CDD505-2E9C-101B-9397-08002B2CF9AE}" pid="9" name="Atlas Document Type">
    <vt:lpwstr>1189;#Social and Environmental Standards (SES)|7a9dffd9-0b1f-4966-9938-9886c04c9893</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a2d36080-5f5c-47dd-b82a-74c1985c7980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